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9E78BF" w:rsidP="00907825">
      <w:pPr>
        <w:pStyle w:val="DecHTitle"/>
        <w:rPr>
          <w:lang w:val="fr-FR"/>
        </w:rPr>
      </w:pPr>
      <w:r>
        <w:rPr>
          <w:szCs w:val="24"/>
          <w:lang w:val="fr-FR"/>
        </w:rPr>
        <w:t>PREMIÈRE SECTION</w:t>
      </w:r>
    </w:p>
    <w:p w:rsidR="006544C4" w:rsidRPr="00AD4F05" w:rsidRDefault="006544C4" w:rsidP="00907825">
      <w:pPr>
        <w:pStyle w:val="DecHTitle"/>
        <w:rPr>
          <w:caps/>
          <w:sz w:val="32"/>
          <w:lang w:val="fr-FR"/>
        </w:rPr>
      </w:pPr>
      <w:r w:rsidRPr="00AD4F05">
        <w:rPr>
          <w:lang w:val="fr-FR"/>
        </w:rPr>
        <w:t>DÉCISION</w:t>
      </w:r>
    </w:p>
    <w:p w:rsidR="006544C4" w:rsidRPr="00AD4F05" w:rsidRDefault="009E78BF"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19424/08</w:t>
      </w:r>
      <w:r w:rsidR="006544C4" w:rsidRPr="00AD4F05">
        <w:rPr>
          <w:lang w:val="fr-FR"/>
        </w:rPr>
        <w:br/>
      </w:r>
      <w:r>
        <w:rPr>
          <w:lang w:val="fr-FR"/>
        </w:rPr>
        <w:t>Antonino</w:t>
      </w:r>
      <w:r w:rsidRPr="00AD4F05">
        <w:rPr>
          <w:lang w:val="fr-FR"/>
        </w:rPr>
        <w:t xml:space="preserve"> </w:t>
      </w:r>
      <w:r>
        <w:rPr>
          <w:lang w:val="fr-FR"/>
        </w:rPr>
        <w:t>GATTO</w:t>
      </w:r>
      <w:r w:rsidRPr="00AD4F05">
        <w:rPr>
          <w:lang w:val="fr-FR"/>
        </w:rPr>
        <w:br/>
      </w:r>
      <w:r w:rsidR="006544C4" w:rsidRPr="00AD4F05">
        <w:rPr>
          <w:lang w:val="fr-FR"/>
        </w:rPr>
        <w:t xml:space="preserve">contre </w:t>
      </w:r>
      <w:r w:rsidRPr="00AD4F05">
        <w:rPr>
          <w:lang w:val="fr-FR"/>
        </w:rPr>
        <w:t>l</w:t>
      </w:r>
      <w:r w:rsidR="00DC51BC">
        <w:rPr>
          <w:lang w:val="fr-FR"/>
        </w:rPr>
        <w:t>’</w:t>
      </w:r>
      <w:r>
        <w:rPr>
          <w:lang w:val="fr-FR"/>
        </w:rPr>
        <w:t>Italie</w:t>
      </w:r>
    </w:p>
    <w:p w:rsidR="009E78BF" w:rsidRPr="008C2D4D" w:rsidRDefault="009E78BF" w:rsidP="00195DFB">
      <w:pPr>
        <w:pStyle w:val="ECHRPara"/>
        <w:rPr>
          <w:lang w:val="fr-FR"/>
        </w:rPr>
      </w:pPr>
      <w:r w:rsidRPr="008C2D4D">
        <w:rPr>
          <w:lang w:val="fr-FR"/>
        </w:rPr>
        <w:t>La Cour européenne des droits de l</w:t>
      </w:r>
      <w:r w:rsidR="00DC51BC">
        <w:rPr>
          <w:lang w:val="fr-FR"/>
        </w:rPr>
        <w:t>’</w:t>
      </w:r>
      <w:r w:rsidRPr="008C2D4D">
        <w:rPr>
          <w:lang w:val="fr-FR"/>
        </w:rPr>
        <w:t xml:space="preserve">homme (première section), siégeant le </w:t>
      </w:r>
      <w:r>
        <w:rPr>
          <w:lang w:val="fr-FR"/>
        </w:rPr>
        <w:t>8 mars 2016</w:t>
      </w:r>
      <w:r w:rsidRPr="008C2D4D">
        <w:rPr>
          <w:lang w:val="fr-FR"/>
        </w:rPr>
        <w:t xml:space="preserve"> en une chambre composée de :</w:t>
      </w:r>
    </w:p>
    <w:p w:rsidR="009E78BF" w:rsidRPr="005E1698" w:rsidRDefault="009E78BF" w:rsidP="004C6DC7">
      <w:pPr>
        <w:pStyle w:val="ECHRDecisionBody"/>
        <w:rPr>
          <w:lang w:val="fr-FR"/>
        </w:rPr>
      </w:pPr>
      <w:r w:rsidRPr="005E1698">
        <w:rPr>
          <w:lang w:val="fr-FR"/>
        </w:rPr>
        <w:tab/>
        <w:t xml:space="preserve">Mirjana Lazarova Trajkovska, </w:t>
      </w:r>
      <w:r w:rsidRPr="005E1698">
        <w:rPr>
          <w:i/>
          <w:lang w:val="fr-FR"/>
        </w:rPr>
        <w:t>présidente</w:t>
      </w:r>
      <w:r w:rsidRPr="005E1698">
        <w:rPr>
          <w:lang w:val="fr-FR"/>
        </w:rPr>
        <w:t>,</w:t>
      </w:r>
      <w:r w:rsidRPr="005E1698">
        <w:rPr>
          <w:lang w:val="fr-FR"/>
        </w:rPr>
        <w:br/>
      </w:r>
      <w:r w:rsidRPr="005E1698">
        <w:rPr>
          <w:lang w:val="fr-FR"/>
        </w:rPr>
        <w:tab/>
        <w:t>Ledi Bianku,</w:t>
      </w:r>
      <w:r w:rsidRPr="005E1698">
        <w:rPr>
          <w:lang w:val="fr-FR"/>
        </w:rPr>
        <w:br/>
      </w:r>
      <w:r w:rsidRPr="005E1698">
        <w:rPr>
          <w:lang w:val="fr-FR"/>
        </w:rPr>
        <w:tab/>
        <w:t>Guido Raimondi,</w:t>
      </w:r>
      <w:r w:rsidRPr="005E1698">
        <w:rPr>
          <w:lang w:val="fr-FR"/>
        </w:rPr>
        <w:br/>
      </w:r>
      <w:r w:rsidRPr="005E1698">
        <w:rPr>
          <w:lang w:val="fr-FR"/>
        </w:rPr>
        <w:tab/>
        <w:t>Kristina Pardalos,</w:t>
      </w:r>
      <w:r w:rsidRPr="005E1698">
        <w:rPr>
          <w:lang w:val="fr-FR"/>
        </w:rPr>
        <w:br/>
      </w:r>
      <w:r w:rsidRPr="005E1698">
        <w:rPr>
          <w:lang w:val="fr-FR"/>
        </w:rPr>
        <w:tab/>
        <w:t>Linos-Alexandre Sicilianos,</w:t>
      </w:r>
      <w:r w:rsidRPr="005E1698">
        <w:rPr>
          <w:lang w:val="fr-FR"/>
        </w:rPr>
        <w:br/>
      </w:r>
      <w:r w:rsidRPr="005E1698">
        <w:rPr>
          <w:lang w:val="fr-FR"/>
        </w:rPr>
        <w:tab/>
        <w:t>Robert Spano,</w:t>
      </w:r>
      <w:r w:rsidRPr="005E1698">
        <w:rPr>
          <w:lang w:val="fr-FR"/>
        </w:rPr>
        <w:br/>
      </w:r>
      <w:r w:rsidRPr="005E1698">
        <w:rPr>
          <w:lang w:val="fr-FR"/>
        </w:rPr>
        <w:tab/>
        <w:t xml:space="preserve">Armen Harutyunyan, </w:t>
      </w:r>
      <w:r w:rsidRPr="005E1698">
        <w:rPr>
          <w:i/>
          <w:lang w:val="fr-FR"/>
        </w:rPr>
        <w:t>juges</w:t>
      </w:r>
      <w:r w:rsidRPr="005E1698">
        <w:rPr>
          <w:lang w:val="fr-FR"/>
        </w:rPr>
        <w:t>,</w:t>
      </w:r>
      <w:r w:rsidRPr="005E1698">
        <w:rPr>
          <w:lang w:val="fr-FR"/>
        </w:rPr>
        <w:br/>
        <w:t xml:space="preserve">et de André Wampach, </w:t>
      </w:r>
      <w:r w:rsidRPr="005E1698">
        <w:rPr>
          <w:i/>
          <w:lang w:val="fr-FR"/>
        </w:rPr>
        <w:t>greffier adjoint de section</w:t>
      </w:r>
      <w:r w:rsidRPr="005E1698">
        <w:rPr>
          <w:lang w:val="fr-FR"/>
        </w:rPr>
        <w:t>,</w:t>
      </w:r>
    </w:p>
    <w:p w:rsidR="009E78BF" w:rsidRPr="008C2D4D" w:rsidRDefault="009E78BF" w:rsidP="00195DFB">
      <w:pPr>
        <w:pStyle w:val="ECHRPara"/>
        <w:rPr>
          <w:lang w:val="fr-FR"/>
        </w:rPr>
      </w:pPr>
      <w:r w:rsidRPr="008C2D4D">
        <w:rPr>
          <w:lang w:val="fr-FR"/>
        </w:rPr>
        <w:t>Vu la requête susmentionnée introduite le 9 avril 2008,</w:t>
      </w:r>
    </w:p>
    <w:p w:rsidR="009E78BF" w:rsidRPr="008C2D4D" w:rsidRDefault="009E78BF" w:rsidP="00195DFB">
      <w:pPr>
        <w:pStyle w:val="ECHRPara"/>
        <w:rPr>
          <w:lang w:val="fr-FR"/>
        </w:rPr>
      </w:pPr>
      <w:r w:rsidRPr="008C2D4D">
        <w:rPr>
          <w:lang w:val="fr-FR"/>
        </w:rPr>
        <w:t>Vu les observations soumises par le gouvernement défendeur et celles présentées en réponse par le requérant,</w:t>
      </w:r>
    </w:p>
    <w:p w:rsidR="009E78BF" w:rsidRPr="008C2D4D" w:rsidRDefault="009E78BF" w:rsidP="00195DFB">
      <w:pPr>
        <w:pStyle w:val="ECHRPara"/>
        <w:rPr>
          <w:lang w:val="fr-FR"/>
        </w:rPr>
      </w:pPr>
      <w:r w:rsidRPr="008C2D4D">
        <w:rPr>
          <w:lang w:val="fr-FR"/>
        </w:rPr>
        <w:t>Après en avoir délibéré, rend la décision suivante :</w:t>
      </w:r>
    </w:p>
    <w:p w:rsidR="009E78BF" w:rsidRPr="008C2D4D" w:rsidRDefault="009E78BF" w:rsidP="00195DFB">
      <w:pPr>
        <w:pStyle w:val="ECHRTitle1"/>
        <w:rPr>
          <w:lang w:val="fr-FR"/>
        </w:rPr>
      </w:pPr>
      <w:r w:rsidRPr="008C2D4D">
        <w:rPr>
          <w:lang w:val="fr-FR"/>
        </w:rPr>
        <w:t>EN FAIT</w:t>
      </w:r>
    </w:p>
    <w:p w:rsidR="009E78BF" w:rsidRPr="002936FD" w:rsidRDefault="009E78BF" w:rsidP="00195DFB">
      <w:pPr>
        <w:pStyle w:val="ECHRPara"/>
        <w:rPr>
          <w:lang w:val="fr-FR"/>
        </w:rPr>
      </w:pPr>
      <w:r>
        <w:rPr>
          <w:lang w:val="fr-FR"/>
        </w:rPr>
        <w:t>1</w:t>
      </w:r>
      <w:r w:rsidRPr="008C2D4D">
        <w:rPr>
          <w:lang w:val="fr-FR"/>
        </w:rPr>
        <w:t xml:space="preserve">.  Le requérant, M. Antonino Gatto, est un </w:t>
      </w:r>
      <w:r w:rsidR="004C6DC7">
        <w:rPr>
          <w:lang w:val="fr-FR"/>
        </w:rPr>
        <w:t xml:space="preserve">ressortissant italien né en </w:t>
      </w:r>
      <w:r w:rsidRPr="008C2D4D">
        <w:rPr>
          <w:lang w:val="fr-FR"/>
        </w:rPr>
        <w:t>1961 et résidant à Rende</w:t>
      </w:r>
      <w:r>
        <w:rPr>
          <w:lang w:val="fr-FR"/>
        </w:rPr>
        <w:t xml:space="preserve"> (Cosenza)</w:t>
      </w:r>
      <w:r w:rsidRPr="008C2D4D">
        <w:rPr>
          <w:lang w:val="fr-FR"/>
        </w:rPr>
        <w:t xml:space="preserve">. </w:t>
      </w:r>
      <w:r w:rsidRPr="002936FD">
        <w:rPr>
          <w:lang w:val="fr-FR"/>
        </w:rPr>
        <w:t xml:space="preserve">Il </w:t>
      </w:r>
      <w:r>
        <w:rPr>
          <w:lang w:val="fr-FR"/>
        </w:rPr>
        <w:t>a été</w:t>
      </w:r>
      <w:r w:rsidRPr="002936FD">
        <w:rPr>
          <w:lang w:val="fr-FR"/>
        </w:rPr>
        <w:t xml:space="preserve"> représenté devant la Cour par M</w:t>
      </w:r>
      <w:r w:rsidRPr="002936FD">
        <w:rPr>
          <w:vertAlign w:val="superscript"/>
          <w:lang w:val="fr-FR"/>
        </w:rPr>
        <w:t>e</w:t>
      </w:r>
      <w:r w:rsidRPr="002936FD">
        <w:rPr>
          <w:lang w:val="fr-FR"/>
        </w:rPr>
        <w:t> </w:t>
      </w:r>
      <w:r>
        <w:rPr>
          <w:lang w:val="fr-FR"/>
        </w:rPr>
        <w:t>V.</w:t>
      </w:r>
      <w:r w:rsidRPr="002936FD">
        <w:rPr>
          <w:lang w:val="fr-FR"/>
        </w:rPr>
        <w:t xml:space="preserve"> </w:t>
      </w:r>
      <w:r>
        <w:rPr>
          <w:lang w:val="fr-FR"/>
        </w:rPr>
        <w:t>Zeno-Zencovich</w:t>
      </w:r>
      <w:r w:rsidRPr="002936FD">
        <w:rPr>
          <w:lang w:val="fr-FR"/>
        </w:rPr>
        <w:t xml:space="preserve"> et M</w:t>
      </w:r>
      <w:r w:rsidRPr="002936FD">
        <w:rPr>
          <w:vertAlign w:val="superscript"/>
          <w:lang w:val="fr-FR"/>
        </w:rPr>
        <w:t>e</w:t>
      </w:r>
      <w:r w:rsidRPr="002936FD">
        <w:rPr>
          <w:lang w:val="fr-FR"/>
        </w:rPr>
        <w:t> </w:t>
      </w:r>
      <w:r>
        <w:rPr>
          <w:lang w:val="fr-FR"/>
        </w:rPr>
        <w:t>M.</w:t>
      </w:r>
      <w:r w:rsidRPr="002936FD">
        <w:rPr>
          <w:lang w:val="fr-FR"/>
        </w:rPr>
        <w:t xml:space="preserve"> </w:t>
      </w:r>
      <w:r>
        <w:rPr>
          <w:lang w:val="fr-FR"/>
        </w:rPr>
        <w:t>Carta</w:t>
      </w:r>
      <w:r w:rsidRPr="002936FD">
        <w:rPr>
          <w:lang w:val="fr-FR"/>
        </w:rPr>
        <w:t xml:space="preserve">, avocats à </w:t>
      </w:r>
      <w:r>
        <w:rPr>
          <w:lang w:val="fr-FR"/>
        </w:rPr>
        <w:t>Rome</w:t>
      </w:r>
      <w:r w:rsidRPr="002936FD">
        <w:rPr>
          <w:lang w:val="fr-FR"/>
        </w:rPr>
        <w:t>.</w:t>
      </w:r>
    </w:p>
    <w:p w:rsidR="009E78BF" w:rsidRPr="008C2D4D" w:rsidRDefault="009E78BF" w:rsidP="00195DFB">
      <w:pPr>
        <w:pStyle w:val="ECHRPara"/>
        <w:rPr>
          <w:lang w:val="fr-FR"/>
        </w:rPr>
      </w:pPr>
      <w:r w:rsidRPr="002936FD">
        <w:rPr>
          <w:lang w:val="fr-FR"/>
        </w:rPr>
        <w:t xml:space="preserve">Le gouvernement </w:t>
      </w:r>
      <w:r>
        <w:rPr>
          <w:lang w:val="fr-FR"/>
        </w:rPr>
        <w:t>italien</w:t>
      </w:r>
      <w:r w:rsidRPr="002936FD">
        <w:rPr>
          <w:lang w:val="fr-FR"/>
        </w:rPr>
        <w:t xml:space="preserve"> (« le Gouvernement ») a été représenté par son agent, </w:t>
      </w:r>
      <w:r>
        <w:rPr>
          <w:lang w:val="fr-FR"/>
        </w:rPr>
        <w:t>M</w:t>
      </w:r>
      <w:r w:rsidRPr="00265102">
        <w:rPr>
          <w:vertAlign w:val="superscript"/>
          <w:lang w:val="fr-FR"/>
        </w:rPr>
        <w:t>me</w:t>
      </w:r>
      <w:r>
        <w:rPr>
          <w:lang w:val="fr-FR"/>
        </w:rPr>
        <w:t xml:space="preserve"> E. Spatafora</w:t>
      </w:r>
      <w:r w:rsidRPr="008C2D4D">
        <w:rPr>
          <w:lang w:val="fr-FR"/>
        </w:rPr>
        <w:t>.</w:t>
      </w:r>
    </w:p>
    <w:p w:rsidR="009E78BF" w:rsidRPr="008C2D4D" w:rsidRDefault="009E78BF" w:rsidP="00195DFB">
      <w:pPr>
        <w:pStyle w:val="ECHRHeading2"/>
        <w:outlineLvl w:val="0"/>
        <w:rPr>
          <w:lang w:val="fr-FR"/>
        </w:rPr>
      </w:pPr>
      <w:r w:rsidRPr="008C2D4D">
        <w:rPr>
          <w:lang w:val="fr-FR"/>
        </w:rPr>
        <w:lastRenderedPageBreak/>
        <w:t>A.  Les circonstances de l</w:t>
      </w:r>
      <w:r w:rsidR="00DC51BC">
        <w:rPr>
          <w:lang w:val="fr-FR"/>
        </w:rPr>
        <w:t>’</w:t>
      </w:r>
      <w:r w:rsidRPr="008C2D4D">
        <w:rPr>
          <w:lang w:val="fr-FR"/>
        </w:rPr>
        <w:t>espèce</w:t>
      </w:r>
    </w:p>
    <w:p w:rsidR="009E78BF" w:rsidRPr="008C2D4D" w:rsidRDefault="009E78BF" w:rsidP="00195DFB">
      <w:pPr>
        <w:pStyle w:val="ECHRPara"/>
        <w:rPr>
          <w:lang w:val="fr-FR"/>
        </w:rPr>
      </w:pPr>
      <w:r>
        <w:rPr>
          <w:lang w:val="fr-FR"/>
        </w:rPr>
        <w:t>2</w:t>
      </w:r>
      <w:r w:rsidRPr="008C2D4D">
        <w:rPr>
          <w:lang w:val="fr-FR"/>
        </w:rPr>
        <w:t>.  Les faits de la cause, tels qu</w:t>
      </w:r>
      <w:r w:rsidR="00DC51BC">
        <w:rPr>
          <w:lang w:val="fr-FR"/>
        </w:rPr>
        <w:t>’</w:t>
      </w:r>
      <w:r w:rsidRPr="008C2D4D">
        <w:rPr>
          <w:lang w:val="fr-FR"/>
        </w:rPr>
        <w:t>ils ont été exposés par les parties, peuvent se résumer comme suit.</w:t>
      </w:r>
    </w:p>
    <w:p w:rsidR="009E78BF" w:rsidRPr="008C2D4D" w:rsidRDefault="009E78BF" w:rsidP="00195DFB">
      <w:pPr>
        <w:pStyle w:val="ECHRHeading3"/>
        <w:rPr>
          <w:lang w:val="fr-FR"/>
        </w:rPr>
      </w:pPr>
      <w:r w:rsidRPr="008C2D4D">
        <w:rPr>
          <w:lang w:val="fr-FR"/>
        </w:rPr>
        <w:t>1.  </w:t>
      </w:r>
      <w:r>
        <w:rPr>
          <w:lang w:val="fr-FR"/>
        </w:rPr>
        <w:t>Les poursuites</w:t>
      </w:r>
      <w:r w:rsidRPr="008C2D4D">
        <w:rPr>
          <w:lang w:val="fr-FR"/>
        </w:rPr>
        <w:t xml:space="preserve"> à l</w:t>
      </w:r>
      <w:r w:rsidR="00DC51BC">
        <w:rPr>
          <w:lang w:val="fr-FR"/>
        </w:rPr>
        <w:t>’</w:t>
      </w:r>
      <w:r w:rsidRPr="008C2D4D">
        <w:rPr>
          <w:lang w:val="fr-FR"/>
        </w:rPr>
        <w:t>encontre du requérant</w:t>
      </w:r>
    </w:p>
    <w:p w:rsidR="009E78BF" w:rsidRPr="008C2D4D" w:rsidRDefault="009E78BF" w:rsidP="00195DFB">
      <w:pPr>
        <w:pStyle w:val="ECHRPara"/>
        <w:rPr>
          <w:lang w:val="fr-FR"/>
        </w:rPr>
      </w:pPr>
      <w:r>
        <w:rPr>
          <w:lang w:val="fr-FR"/>
        </w:rPr>
        <w:t>3</w:t>
      </w:r>
      <w:r w:rsidRPr="008C2D4D">
        <w:rPr>
          <w:lang w:val="fr-FR"/>
        </w:rPr>
        <w:t xml:space="preserve">.  Le requérant est associé et administrateur de plusieurs sociétés sises en Calabre. En 2003, le </w:t>
      </w:r>
      <w:r>
        <w:rPr>
          <w:lang w:val="fr-FR"/>
        </w:rPr>
        <w:t>parquet</w:t>
      </w:r>
      <w:r w:rsidRPr="008C2D4D">
        <w:rPr>
          <w:lang w:val="fr-FR"/>
        </w:rPr>
        <w:t xml:space="preserve"> de Catanzaro reçut une lettre anonyme accusant le requérant et d</w:t>
      </w:r>
      <w:r w:rsidR="00DC51BC">
        <w:rPr>
          <w:lang w:val="fr-FR"/>
        </w:rPr>
        <w:t>’</w:t>
      </w:r>
      <w:r w:rsidRPr="008C2D4D">
        <w:rPr>
          <w:lang w:val="fr-FR"/>
        </w:rPr>
        <w:t>autres personnes de blanchir de l</w:t>
      </w:r>
      <w:r w:rsidR="00DC51BC">
        <w:rPr>
          <w:lang w:val="fr-FR"/>
        </w:rPr>
        <w:t>’</w:t>
      </w:r>
      <w:r w:rsidRPr="008C2D4D">
        <w:rPr>
          <w:lang w:val="fr-FR"/>
        </w:rPr>
        <w:t>argent provenant des activités de la mafia. Des investigations furent ouvertes à l</w:t>
      </w:r>
      <w:r w:rsidR="00DC51BC">
        <w:rPr>
          <w:lang w:val="fr-FR"/>
        </w:rPr>
        <w:t>’</w:t>
      </w:r>
      <w:r w:rsidRPr="008C2D4D">
        <w:rPr>
          <w:lang w:val="fr-FR"/>
        </w:rPr>
        <w:t xml:space="preserve">encontre </w:t>
      </w:r>
      <w:r>
        <w:rPr>
          <w:lang w:val="fr-FR"/>
        </w:rPr>
        <w:t>des personnes concernées</w:t>
      </w:r>
      <w:r w:rsidRPr="008C2D4D">
        <w:rPr>
          <w:lang w:val="fr-FR"/>
        </w:rPr>
        <w:t>. L</w:t>
      </w:r>
      <w:r w:rsidR="00DC51BC">
        <w:rPr>
          <w:lang w:val="fr-FR"/>
        </w:rPr>
        <w:t>’</w:t>
      </w:r>
      <w:r w:rsidRPr="008C2D4D">
        <w:rPr>
          <w:lang w:val="fr-FR"/>
        </w:rPr>
        <w:t xml:space="preserve">enquête fut confiée à la Direction nationale </w:t>
      </w:r>
      <w:r>
        <w:rPr>
          <w:lang w:val="fr-FR"/>
        </w:rPr>
        <w:t>contre la mafia</w:t>
      </w:r>
      <w:r w:rsidRPr="008C2D4D">
        <w:rPr>
          <w:lang w:val="fr-FR"/>
        </w:rPr>
        <w:t xml:space="preserve"> (</w:t>
      </w:r>
      <w:r>
        <w:rPr>
          <w:i/>
          <w:lang w:val="fr-FR"/>
        </w:rPr>
        <w:t>Direzione Nazionale Antimafia</w:t>
      </w:r>
      <w:r>
        <w:rPr>
          <w:lang w:val="fr-FR"/>
        </w:rPr>
        <w:t>, ci-après, la</w:t>
      </w:r>
      <w:r>
        <w:rPr>
          <w:i/>
          <w:lang w:val="fr-FR"/>
        </w:rPr>
        <w:t xml:space="preserve"> </w:t>
      </w:r>
      <w:r>
        <w:rPr>
          <w:lang w:val="fr-FR"/>
        </w:rPr>
        <w:t>« </w:t>
      </w:r>
      <w:r w:rsidRPr="008C2D4D">
        <w:rPr>
          <w:lang w:val="fr-FR"/>
        </w:rPr>
        <w:t>DNA</w:t>
      </w:r>
      <w:r>
        <w:rPr>
          <w:lang w:val="fr-FR"/>
        </w:rPr>
        <w:t> »</w:t>
      </w:r>
      <w:r w:rsidRPr="008C2D4D">
        <w:rPr>
          <w:lang w:val="fr-FR"/>
        </w:rPr>
        <w:t>).</w:t>
      </w:r>
    </w:p>
    <w:p w:rsidR="009E78BF" w:rsidRPr="008C2D4D" w:rsidRDefault="009E78BF" w:rsidP="00195DFB">
      <w:pPr>
        <w:pStyle w:val="ECHRPara"/>
        <w:rPr>
          <w:lang w:val="fr-FR"/>
        </w:rPr>
      </w:pPr>
      <w:r>
        <w:rPr>
          <w:lang w:val="fr-FR"/>
        </w:rPr>
        <w:t>4</w:t>
      </w:r>
      <w:r w:rsidRPr="008C2D4D">
        <w:rPr>
          <w:lang w:val="fr-FR"/>
        </w:rPr>
        <w:t xml:space="preserve">.  Le 25 mai 2003, le </w:t>
      </w:r>
      <w:r>
        <w:rPr>
          <w:lang w:val="fr-FR"/>
        </w:rPr>
        <w:t>parquet</w:t>
      </w:r>
      <w:r w:rsidRPr="008C2D4D">
        <w:rPr>
          <w:lang w:val="fr-FR"/>
        </w:rPr>
        <w:t xml:space="preserve"> demanda au juge des investigations préliminaires de </w:t>
      </w:r>
      <w:r>
        <w:rPr>
          <w:lang w:val="fr-FR"/>
        </w:rPr>
        <w:t>Catanzaro</w:t>
      </w:r>
      <w:r w:rsidRPr="008C2D4D">
        <w:rPr>
          <w:lang w:val="fr-FR"/>
        </w:rPr>
        <w:t xml:space="preserve"> de classer l</w:t>
      </w:r>
      <w:r>
        <w:rPr>
          <w:lang w:val="fr-FR"/>
        </w:rPr>
        <w:t>es poursuites</w:t>
      </w:r>
      <w:r w:rsidRPr="008C2D4D">
        <w:rPr>
          <w:lang w:val="fr-FR"/>
        </w:rPr>
        <w:t>. Il affirma que les investigations n</w:t>
      </w:r>
      <w:r w:rsidR="00DC51BC">
        <w:rPr>
          <w:lang w:val="fr-FR"/>
        </w:rPr>
        <w:t>’</w:t>
      </w:r>
      <w:r w:rsidRPr="008C2D4D">
        <w:rPr>
          <w:lang w:val="fr-FR"/>
        </w:rPr>
        <w:t xml:space="preserve">avaient pas pu déceler </w:t>
      </w:r>
      <w:r>
        <w:rPr>
          <w:lang w:val="fr-FR"/>
        </w:rPr>
        <w:t>aucun élément susceptible de prouver que</w:t>
      </w:r>
      <w:r w:rsidRPr="008C2D4D">
        <w:rPr>
          <w:lang w:val="fr-FR"/>
        </w:rPr>
        <w:t xml:space="preserve"> l</w:t>
      </w:r>
      <w:r w:rsidR="00DC51BC">
        <w:rPr>
          <w:lang w:val="fr-FR"/>
        </w:rPr>
        <w:t>’</w:t>
      </w:r>
      <w:r w:rsidRPr="008C2D4D">
        <w:rPr>
          <w:lang w:val="fr-FR"/>
        </w:rPr>
        <w:t xml:space="preserve">argent </w:t>
      </w:r>
      <w:r>
        <w:rPr>
          <w:lang w:val="fr-FR"/>
        </w:rPr>
        <w:t>géré par le</w:t>
      </w:r>
      <w:r w:rsidRPr="008C2D4D">
        <w:rPr>
          <w:lang w:val="fr-FR"/>
        </w:rPr>
        <w:t xml:space="preserve"> requérant et</w:t>
      </w:r>
      <w:r>
        <w:rPr>
          <w:lang w:val="fr-FR"/>
        </w:rPr>
        <w:t>/ou</w:t>
      </w:r>
      <w:r w:rsidRPr="008C2D4D">
        <w:rPr>
          <w:lang w:val="fr-FR"/>
        </w:rPr>
        <w:t xml:space="preserve"> </w:t>
      </w:r>
      <w:r>
        <w:rPr>
          <w:lang w:val="fr-FR"/>
        </w:rPr>
        <w:t>par l</w:t>
      </w:r>
      <w:r w:rsidRPr="008C2D4D">
        <w:rPr>
          <w:lang w:val="fr-FR"/>
        </w:rPr>
        <w:t xml:space="preserve">es autres personnes </w:t>
      </w:r>
      <w:r>
        <w:rPr>
          <w:lang w:val="fr-FR"/>
        </w:rPr>
        <w:t>mentionnées dans la lettre anonyme provenait d</w:t>
      </w:r>
      <w:r w:rsidR="00DC51BC">
        <w:rPr>
          <w:lang w:val="fr-FR"/>
        </w:rPr>
        <w:t>’</w:t>
      </w:r>
      <w:r>
        <w:rPr>
          <w:lang w:val="fr-FR"/>
        </w:rPr>
        <w:t>activités illicites</w:t>
      </w:r>
      <w:r w:rsidRPr="008C2D4D">
        <w:rPr>
          <w:lang w:val="fr-FR"/>
        </w:rPr>
        <w:t>.</w:t>
      </w:r>
    </w:p>
    <w:p w:rsidR="009E78BF" w:rsidRPr="008C2D4D" w:rsidRDefault="009E78BF" w:rsidP="00195DFB">
      <w:pPr>
        <w:pStyle w:val="ECHRPara"/>
        <w:rPr>
          <w:lang w:val="fr-FR"/>
        </w:rPr>
      </w:pPr>
      <w:r>
        <w:rPr>
          <w:lang w:val="fr-FR"/>
        </w:rPr>
        <w:t>5</w:t>
      </w:r>
      <w:r w:rsidRPr="008C2D4D">
        <w:rPr>
          <w:lang w:val="fr-FR"/>
        </w:rPr>
        <w:t>.  Le 3 juillet 2006, le juge des investigations préliminaires fit droit à la demande du parquet et décida de classer l</w:t>
      </w:r>
      <w:r w:rsidR="00DC51BC">
        <w:rPr>
          <w:lang w:val="fr-FR"/>
        </w:rPr>
        <w:t>’</w:t>
      </w:r>
      <w:r w:rsidRPr="008C2D4D">
        <w:rPr>
          <w:lang w:val="fr-FR"/>
        </w:rPr>
        <w:t>affaire sans suite.</w:t>
      </w:r>
    </w:p>
    <w:p w:rsidR="009E78BF" w:rsidRPr="008C2D4D" w:rsidRDefault="009E78BF" w:rsidP="00195DFB">
      <w:pPr>
        <w:pStyle w:val="ECHRHeading3"/>
        <w:rPr>
          <w:lang w:val="fr-FR"/>
        </w:rPr>
      </w:pPr>
      <w:r w:rsidRPr="008C2D4D">
        <w:rPr>
          <w:lang w:val="fr-FR"/>
        </w:rPr>
        <w:t>2.  L</w:t>
      </w:r>
      <w:r>
        <w:rPr>
          <w:lang w:val="fr-FR"/>
        </w:rPr>
        <w:t>a procédure</w:t>
      </w:r>
      <w:r w:rsidRPr="008C2D4D">
        <w:rPr>
          <w:lang w:val="fr-FR"/>
        </w:rPr>
        <w:t xml:space="preserve"> de</w:t>
      </w:r>
      <w:r>
        <w:rPr>
          <w:lang w:val="fr-FR"/>
        </w:rPr>
        <w:t>vant</w:t>
      </w:r>
      <w:r w:rsidRPr="008C2D4D">
        <w:rPr>
          <w:lang w:val="fr-FR"/>
        </w:rPr>
        <w:t xml:space="preserve"> la commission parlementaire</w:t>
      </w:r>
    </w:p>
    <w:p w:rsidR="009E78BF" w:rsidRPr="008C2D4D" w:rsidRDefault="009E78BF" w:rsidP="00195DFB">
      <w:pPr>
        <w:pStyle w:val="ECHRPara"/>
        <w:rPr>
          <w:lang w:val="fr-FR"/>
        </w:rPr>
      </w:pPr>
      <w:r>
        <w:rPr>
          <w:lang w:val="fr-FR"/>
        </w:rPr>
        <w:t>6</w:t>
      </w:r>
      <w:r w:rsidRPr="008C2D4D">
        <w:rPr>
          <w:lang w:val="fr-FR"/>
        </w:rPr>
        <w:t>.  Le 4 décembre 2007, la commission parlementaire chargée d</w:t>
      </w:r>
      <w:r w:rsidR="00DC51BC">
        <w:rPr>
          <w:lang w:val="fr-FR"/>
        </w:rPr>
        <w:t>’</w:t>
      </w:r>
      <w:r w:rsidRPr="008C2D4D">
        <w:rPr>
          <w:lang w:val="fr-FR"/>
        </w:rPr>
        <w:t>enquêter sur le phénomène de la mafia et sur d</w:t>
      </w:r>
      <w:r w:rsidR="00DC51BC">
        <w:rPr>
          <w:lang w:val="fr-FR"/>
        </w:rPr>
        <w:t>’</w:t>
      </w:r>
      <w:r w:rsidRPr="008C2D4D">
        <w:rPr>
          <w:lang w:val="fr-FR"/>
        </w:rPr>
        <w:t>autres organisations criminelles similaires (</w:t>
      </w:r>
      <w:r w:rsidRPr="008C2D4D">
        <w:rPr>
          <w:i/>
          <w:lang w:val="fr-FR"/>
        </w:rPr>
        <w:t>commissione parlamentare d</w:t>
      </w:r>
      <w:r w:rsidR="00DC51BC">
        <w:rPr>
          <w:i/>
          <w:lang w:val="fr-FR"/>
        </w:rPr>
        <w:t>’</w:t>
      </w:r>
      <w:r w:rsidRPr="008C2D4D">
        <w:rPr>
          <w:i/>
          <w:lang w:val="fr-FR"/>
        </w:rPr>
        <w:t>inchiesta sul fenomeno della criminalità organizzata mafiosa o similare,</w:t>
      </w:r>
      <w:r w:rsidRPr="008C2D4D">
        <w:rPr>
          <w:lang w:val="fr-FR"/>
        </w:rPr>
        <w:t xml:space="preserve"> ci-après indiquée comme « la commission parlementaire ») auditionna trois procureurs de la D</w:t>
      </w:r>
      <w:r>
        <w:rPr>
          <w:lang w:val="fr-FR"/>
        </w:rPr>
        <w:t>NA</w:t>
      </w:r>
      <w:r w:rsidRPr="008C2D4D">
        <w:rPr>
          <w:lang w:val="fr-FR"/>
        </w:rPr>
        <w:t>, dont le procureur adjoint L.</w:t>
      </w:r>
    </w:p>
    <w:p w:rsidR="009E78BF" w:rsidRPr="008C2D4D" w:rsidRDefault="009E78BF" w:rsidP="00195DFB">
      <w:pPr>
        <w:pStyle w:val="ECHRPara"/>
        <w:rPr>
          <w:lang w:val="fr-FR"/>
        </w:rPr>
      </w:pPr>
      <w:r>
        <w:rPr>
          <w:lang w:val="fr-FR"/>
        </w:rPr>
        <w:t>7</w:t>
      </w:r>
      <w:r w:rsidRPr="008C2D4D">
        <w:rPr>
          <w:lang w:val="fr-FR"/>
        </w:rPr>
        <w:t xml:space="preserve">.  La première partie de la séance </w:t>
      </w:r>
      <w:r>
        <w:rPr>
          <w:lang w:val="fr-FR"/>
        </w:rPr>
        <w:t xml:space="preserve">du 4 décembre 2007 </w:t>
      </w:r>
      <w:r w:rsidRPr="008C2D4D">
        <w:rPr>
          <w:lang w:val="fr-FR"/>
        </w:rPr>
        <w:t xml:space="preserve">était publique. Les magistrats furent entendus notamment </w:t>
      </w:r>
      <w:r>
        <w:rPr>
          <w:lang w:val="fr-FR"/>
        </w:rPr>
        <w:t>au sujet d</w:t>
      </w:r>
      <w:r w:rsidR="00DC51BC">
        <w:rPr>
          <w:lang w:val="fr-FR"/>
        </w:rPr>
        <w:t>’</w:t>
      </w:r>
      <w:r>
        <w:rPr>
          <w:lang w:val="fr-FR"/>
        </w:rPr>
        <w:t xml:space="preserve">une </w:t>
      </w:r>
      <w:r w:rsidRPr="008C2D4D">
        <w:rPr>
          <w:lang w:val="fr-FR"/>
        </w:rPr>
        <w:t xml:space="preserve">organisation </w:t>
      </w:r>
      <w:r>
        <w:rPr>
          <w:lang w:val="fr-FR"/>
        </w:rPr>
        <w:t>criminelle enracinée en Calabre</w:t>
      </w:r>
      <w:r w:rsidRPr="008C2D4D">
        <w:rPr>
          <w:lang w:val="fr-FR"/>
        </w:rPr>
        <w:t>, la</w:t>
      </w:r>
      <w:r w:rsidRPr="008C2D4D">
        <w:rPr>
          <w:i/>
          <w:lang w:val="fr-FR"/>
        </w:rPr>
        <w:t xml:space="preserve"> </w:t>
      </w:r>
      <w:r w:rsidR="00DC51BC">
        <w:rPr>
          <w:i/>
          <w:lang w:val="fr-FR"/>
        </w:rPr>
        <w:t>‘</w:t>
      </w:r>
      <w:r w:rsidRPr="008C2D4D">
        <w:rPr>
          <w:i/>
          <w:lang w:val="fr-FR"/>
        </w:rPr>
        <w:t>ndrangheta</w:t>
      </w:r>
      <w:r w:rsidRPr="008C2D4D">
        <w:rPr>
          <w:lang w:val="fr-FR"/>
        </w:rPr>
        <w:t>. L. affirma avoir mené, en 2003, des investigations qui avaient permis d</w:t>
      </w:r>
      <w:r w:rsidR="00DC51BC">
        <w:rPr>
          <w:lang w:val="fr-FR"/>
        </w:rPr>
        <w:t>’</w:t>
      </w:r>
      <w:r>
        <w:rPr>
          <w:lang w:val="fr-FR"/>
        </w:rPr>
        <w:t>établir</w:t>
      </w:r>
      <w:r w:rsidRPr="008C2D4D">
        <w:rPr>
          <w:lang w:val="fr-FR"/>
        </w:rPr>
        <w:t xml:space="preserve"> qu</w:t>
      </w:r>
      <w:r w:rsidR="00DC51BC">
        <w:rPr>
          <w:lang w:val="fr-FR"/>
        </w:rPr>
        <w:t>’</w:t>
      </w:r>
      <w:r>
        <w:rPr>
          <w:lang w:val="fr-FR"/>
        </w:rPr>
        <w:t>une grande partie</w:t>
      </w:r>
      <w:r w:rsidRPr="008C2D4D">
        <w:rPr>
          <w:lang w:val="fr-FR"/>
        </w:rPr>
        <w:t xml:space="preserve"> de la richesse calabraise était détenu</w:t>
      </w:r>
      <w:r>
        <w:rPr>
          <w:lang w:val="fr-FR"/>
        </w:rPr>
        <w:t>e</w:t>
      </w:r>
      <w:r w:rsidRPr="008C2D4D">
        <w:rPr>
          <w:lang w:val="fr-FR"/>
        </w:rPr>
        <w:t xml:space="preserve"> par 35 sociétés environ. Celles-ci étaient propriétaires de plus de 2 700 immeubles et 2 200 terrains</w:t>
      </w:r>
      <w:r>
        <w:rPr>
          <w:lang w:val="fr-FR"/>
        </w:rPr>
        <w:t>,</w:t>
      </w:r>
      <w:r w:rsidRPr="008C2D4D">
        <w:rPr>
          <w:lang w:val="fr-FR"/>
        </w:rPr>
        <w:t xml:space="preserve"> et leurs patrimoines étaient gérés par un seul cabinet d</w:t>
      </w:r>
      <w:r w:rsidR="00DC51BC">
        <w:rPr>
          <w:lang w:val="fr-FR"/>
        </w:rPr>
        <w:t>’</w:t>
      </w:r>
      <w:r>
        <w:rPr>
          <w:lang w:val="fr-FR"/>
        </w:rPr>
        <w:t>experts comptables</w:t>
      </w:r>
      <w:r w:rsidRPr="008C2D4D">
        <w:rPr>
          <w:lang w:val="fr-FR"/>
        </w:rPr>
        <w:t xml:space="preserve"> sis à Cosenza. </w:t>
      </w:r>
      <w:r>
        <w:rPr>
          <w:lang w:val="fr-FR"/>
        </w:rPr>
        <w:t>L.</w:t>
      </w:r>
      <w:r w:rsidRPr="008C2D4D">
        <w:rPr>
          <w:lang w:val="fr-FR"/>
        </w:rPr>
        <w:t xml:space="preserve"> ajouta que les investigations n</w:t>
      </w:r>
      <w:r w:rsidR="00DC51BC">
        <w:rPr>
          <w:lang w:val="fr-FR"/>
        </w:rPr>
        <w:t>’</w:t>
      </w:r>
      <w:r w:rsidRPr="008C2D4D">
        <w:rPr>
          <w:lang w:val="fr-FR"/>
        </w:rPr>
        <w:t xml:space="preserve">avaient pas abouti </w:t>
      </w:r>
      <w:r>
        <w:rPr>
          <w:lang w:val="fr-FR"/>
        </w:rPr>
        <w:t>et qu</w:t>
      </w:r>
      <w:r w:rsidR="00DC51BC">
        <w:rPr>
          <w:lang w:val="fr-FR"/>
        </w:rPr>
        <w:t>’</w:t>
      </w:r>
      <w:r>
        <w:rPr>
          <w:lang w:val="fr-FR"/>
        </w:rPr>
        <w:t>aucun chef d</w:t>
      </w:r>
      <w:r w:rsidR="00DC51BC">
        <w:rPr>
          <w:lang w:val="fr-FR"/>
        </w:rPr>
        <w:t>’</w:t>
      </w:r>
      <w:r>
        <w:rPr>
          <w:lang w:val="fr-FR"/>
        </w:rPr>
        <w:t>accusation n</w:t>
      </w:r>
      <w:r w:rsidR="00DC51BC">
        <w:rPr>
          <w:lang w:val="fr-FR"/>
        </w:rPr>
        <w:t>’</w:t>
      </w:r>
      <w:r>
        <w:rPr>
          <w:lang w:val="fr-FR"/>
        </w:rPr>
        <w:t>avait été formulé</w:t>
      </w:r>
      <w:r w:rsidRPr="008C2D4D">
        <w:rPr>
          <w:lang w:val="fr-FR"/>
        </w:rPr>
        <w:t>.</w:t>
      </w:r>
    </w:p>
    <w:p w:rsidR="009E78BF" w:rsidRPr="008C2D4D" w:rsidRDefault="009E78BF" w:rsidP="00195DFB">
      <w:pPr>
        <w:pStyle w:val="ECHRPara"/>
        <w:rPr>
          <w:lang w:val="fr-FR"/>
        </w:rPr>
      </w:pPr>
      <w:r>
        <w:rPr>
          <w:lang w:val="fr-FR"/>
        </w:rPr>
        <w:t>8</w:t>
      </w:r>
      <w:r w:rsidRPr="008C2D4D">
        <w:rPr>
          <w:lang w:val="fr-FR"/>
        </w:rPr>
        <w:t>.  L. s</w:t>
      </w:r>
      <w:r w:rsidR="00DC51BC">
        <w:rPr>
          <w:lang w:val="fr-FR"/>
        </w:rPr>
        <w:t>’</w:t>
      </w:r>
      <w:r w:rsidRPr="008C2D4D">
        <w:rPr>
          <w:lang w:val="fr-FR"/>
        </w:rPr>
        <w:t xml:space="preserve">engagea à informer la commission </w:t>
      </w:r>
      <w:r>
        <w:rPr>
          <w:lang w:val="fr-FR"/>
        </w:rPr>
        <w:t xml:space="preserve">parlementaire </w:t>
      </w:r>
      <w:r w:rsidRPr="008C2D4D">
        <w:rPr>
          <w:lang w:val="fr-FR"/>
        </w:rPr>
        <w:t>des détails de ladite procédure et à fournir les noms et les adresses des personnes impliquées dans celle-ci</w:t>
      </w:r>
      <w:r>
        <w:rPr>
          <w:lang w:val="fr-FR"/>
        </w:rPr>
        <w:t xml:space="preserve">. Il demanda la tenue de </w:t>
      </w:r>
      <w:r w:rsidRPr="008C2D4D">
        <w:rPr>
          <w:lang w:val="fr-FR"/>
        </w:rPr>
        <w:t xml:space="preserve">la séance à huis clos afin de préserver la confidentialité des informations. </w:t>
      </w:r>
      <w:r>
        <w:rPr>
          <w:lang w:val="fr-FR"/>
        </w:rPr>
        <w:t>Il précisa qu</w:t>
      </w:r>
      <w:r w:rsidR="00DC51BC">
        <w:rPr>
          <w:lang w:val="fr-FR"/>
        </w:rPr>
        <w:t>’</w:t>
      </w:r>
      <w:r w:rsidRPr="008C2D4D">
        <w:rPr>
          <w:lang w:val="fr-FR"/>
        </w:rPr>
        <w:t xml:space="preserve">il ignorait si la procédure </w:t>
      </w:r>
      <w:r>
        <w:rPr>
          <w:lang w:val="fr-FR"/>
        </w:rPr>
        <w:t xml:space="preserve">en cause </w:t>
      </w:r>
      <w:r w:rsidRPr="008C2D4D">
        <w:rPr>
          <w:lang w:val="fr-FR"/>
        </w:rPr>
        <w:t>s</w:t>
      </w:r>
      <w:r w:rsidR="00DC51BC">
        <w:rPr>
          <w:lang w:val="fr-FR"/>
        </w:rPr>
        <w:t>’</w:t>
      </w:r>
      <w:r w:rsidRPr="008C2D4D">
        <w:rPr>
          <w:lang w:val="fr-FR"/>
        </w:rPr>
        <w:t xml:space="preserve">était </w:t>
      </w:r>
      <w:r>
        <w:rPr>
          <w:lang w:val="fr-FR"/>
        </w:rPr>
        <w:t>sold</w:t>
      </w:r>
      <w:r w:rsidRPr="008C2D4D">
        <w:rPr>
          <w:lang w:val="fr-FR"/>
        </w:rPr>
        <w:t>ée par un classement</w:t>
      </w:r>
      <w:r>
        <w:rPr>
          <w:lang w:val="fr-FR"/>
        </w:rPr>
        <w:t xml:space="preserve"> des poursuites</w:t>
      </w:r>
      <w:r w:rsidRPr="008C2D4D">
        <w:rPr>
          <w:lang w:val="fr-FR"/>
        </w:rPr>
        <w:t xml:space="preserve"> ou si elle était toujours pendante. </w:t>
      </w:r>
      <w:r>
        <w:rPr>
          <w:lang w:val="fr-FR"/>
        </w:rPr>
        <w:t xml:space="preserve">La demande de L. fut accueillie et, </w:t>
      </w:r>
      <w:r w:rsidRPr="008C2D4D">
        <w:rPr>
          <w:lang w:val="fr-FR"/>
        </w:rPr>
        <w:t>pour autant qu</w:t>
      </w:r>
      <w:r w:rsidR="00DC51BC">
        <w:rPr>
          <w:lang w:val="fr-FR"/>
        </w:rPr>
        <w:t>’</w:t>
      </w:r>
      <w:r w:rsidRPr="008C2D4D">
        <w:rPr>
          <w:lang w:val="fr-FR"/>
        </w:rPr>
        <w:t xml:space="preserve">elle portait sur </w:t>
      </w:r>
      <w:r>
        <w:rPr>
          <w:lang w:val="fr-FR"/>
        </w:rPr>
        <w:t>la</w:t>
      </w:r>
      <w:r w:rsidRPr="008C2D4D">
        <w:rPr>
          <w:lang w:val="fr-FR"/>
        </w:rPr>
        <w:t xml:space="preserve"> question</w:t>
      </w:r>
      <w:r>
        <w:rPr>
          <w:lang w:val="fr-FR"/>
        </w:rPr>
        <w:t xml:space="preserve"> évoquée ci-dessus, </w:t>
      </w:r>
      <w:r w:rsidRPr="008C2D4D">
        <w:rPr>
          <w:lang w:val="fr-FR"/>
        </w:rPr>
        <w:t xml:space="preserve">la suite de la séance </w:t>
      </w:r>
      <w:r>
        <w:rPr>
          <w:lang w:val="fr-FR"/>
        </w:rPr>
        <w:t>du 4 décembre 2007 eut lieu à huis clos</w:t>
      </w:r>
      <w:r w:rsidRPr="008C2D4D">
        <w:rPr>
          <w:lang w:val="fr-FR"/>
        </w:rPr>
        <w:t>.</w:t>
      </w:r>
    </w:p>
    <w:p w:rsidR="009E78BF" w:rsidRPr="008C2D4D" w:rsidRDefault="009E78BF" w:rsidP="00195DFB">
      <w:pPr>
        <w:pStyle w:val="ECHRPara"/>
        <w:rPr>
          <w:lang w:val="fr-FR"/>
        </w:rPr>
      </w:pPr>
      <w:r>
        <w:rPr>
          <w:lang w:val="fr-FR"/>
        </w:rPr>
        <w:lastRenderedPageBreak/>
        <w:t>9</w:t>
      </w:r>
      <w:r w:rsidRPr="008C2D4D">
        <w:rPr>
          <w:lang w:val="fr-FR"/>
        </w:rPr>
        <w:t xml:space="preserve">.  Le 6 décembre 2007, le journal local </w:t>
      </w:r>
      <w:r w:rsidRPr="008C2D4D">
        <w:rPr>
          <w:i/>
          <w:lang w:val="fr-FR"/>
        </w:rPr>
        <w:t>Calabria Ora</w:t>
      </w:r>
      <w:r w:rsidRPr="008C2D4D">
        <w:rPr>
          <w:lang w:val="fr-FR"/>
        </w:rPr>
        <w:t xml:space="preserve"> publia un article intitulé « Antimafia, l</w:t>
      </w:r>
      <w:r w:rsidR="00DC51BC">
        <w:rPr>
          <w:lang w:val="fr-FR"/>
        </w:rPr>
        <w:t>’</w:t>
      </w:r>
      <w:r w:rsidRPr="008C2D4D">
        <w:rPr>
          <w:lang w:val="fr-FR"/>
        </w:rPr>
        <w:t xml:space="preserve">audition de la </w:t>
      </w:r>
      <w:r>
        <w:rPr>
          <w:lang w:val="fr-FR"/>
        </w:rPr>
        <w:t>DNA</w:t>
      </w:r>
      <w:r w:rsidRPr="008C2D4D">
        <w:rPr>
          <w:lang w:val="fr-FR"/>
        </w:rPr>
        <w:t xml:space="preserve"> fait émerger un sombre tableau de complicités tentaculaires ». </w:t>
      </w:r>
      <w:r>
        <w:rPr>
          <w:lang w:val="fr-FR"/>
        </w:rPr>
        <w:t>Dans ses parties pertinentes,</w:t>
      </w:r>
      <w:r w:rsidRPr="008C2D4D">
        <w:rPr>
          <w:lang w:val="fr-FR"/>
        </w:rPr>
        <w:t xml:space="preserve"> </w:t>
      </w:r>
      <w:r>
        <w:rPr>
          <w:lang w:val="fr-FR"/>
        </w:rPr>
        <w:t xml:space="preserve">cet </w:t>
      </w:r>
      <w:r w:rsidRPr="008C2D4D">
        <w:rPr>
          <w:lang w:val="fr-FR"/>
        </w:rPr>
        <w:t>article</w:t>
      </w:r>
      <w:r>
        <w:rPr>
          <w:lang w:val="fr-FR"/>
        </w:rPr>
        <w:t xml:space="preserve"> se lisait ainsi</w:t>
      </w:r>
      <w:r w:rsidRPr="008C2D4D">
        <w:rPr>
          <w:lang w:val="fr-FR"/>
        </w:rPr>
        <w:t> :</w:t>
      </w:r>
    </w:p>
    <w:p w:rsidR="009E78BF" w:rsidRPr="008C2D4D" w:rsidRDefault="009E78BF" w:rsidP="00195DFB">
      <w:pPr>
        <w:pStyle w:val="ECHRParaQuote"/>
        <w:rPr>
          <w:lang w:val="fr-FR"/>
        </w:rPr>
      </w:pPr>
      <w:r w:rsidRPr="008C2D4D">
        <w:rPr>
          <w:lang w:val="fr-FR"/>
        </w:rPr>
        <w:t>« Il y a des noms et des adresses dans les déclarations faites par [L.], procureur de la D</w:t>
      </w:r>
      <w:r>
        <w:rPr>
          <w:lang w:val="fr-FR"/>
        </w:rPr>
        <w:t>NA</w:t>
      </w:r>
      <w:r w:rsidRPr="008C2D4D">
        <w:rPr>
          <w:lang w:val="fr-FR"/>
        </w:rPr>
        <w:t xml:space="preserve">, devant la </w:t>
      </w:r>
      <w:r>
        <w:rPr>
          <w:lang w:val="fr-FR"/>
        </w:rPr>
        <w:t>c</w:t>
      </w:r>
      <w:r w:rsidRPr="008C2D4D">
        <w:rPr>
          <w:lang w:val="fr-FR"/>
        </w:rPr>
        <w:t>ommission parlementaire. Dans la partie couverte par le secret on parle d</w:t>
      </w:r>
      <w:r w:rsidR="00DC51BC">
        <w:rPr>
          <w:lang w:val="fr-FR"/>
        </w:rPr>
        <w:t>’</w:t>
      </w:r>
      <w:r w:rsidRPr="008C2D4D">
        <w:rPr>
          <w:lang w:val="fr-FR"/>
        </w:rPr>
        <w:t xml:space="preserve">un cabinet </w:t>
      </w:r>
      <w:r>
        <w:rPr>
          <w:lang w:val="fr-FR"/>
        </w:rPr>
        <w:t>d</w:t>
      </w:r>
      <w:r w:rsidR="00DC51BC">
        <w:rPr>
          <w:lang w:val="fr-FR"/>
        </w:rPr>
        <w:t>’</w:t>
      </w:r>
      <w:r>
        <w:rPr>
          <w:lang w:val="fr-FR"/>
        </w:rPr>
        <w:t>experts comptables</w:t>
      </w:r>
      <w:r w:rsidRPr="008C2D4D">
        <w:rPr>
          <w:lang w:val="fr-FR"/>
        </w:rPr>
        <w:t xml:space="preserve"> de Cosenza très connu et d</w:t>
      </w:r>
      <w:r w:rsidR="00DC51BC">
        <w:rPr>
          <w:lang w:val="fr-FR"/>
        </w:rPr>
        <w:t>’</w:t>
      </w:r>
      <w:r w:rsidRPr="008C2D4D">
        <w:rPr>
          <w:lang w:val="fr-FR"/>
        </w:rPr>
        <w:t>un entrepreneur, également connu, ayant des intérêts dans l</w:t>
      </w:r>
      <w:r w:rsidR="00DC51BC">
        <w:rPr>
          <w:lang w:val="fr-FR"/>
        </w:rPr>
        <w:t>’</w:t>
      </w:r>
      <w:r w:rsidRPr="008C2D4D">
        <w:rPr>
          <w:lang w:val="fr-FR"/>
        </w:rPr>
        <w:t>édition et dans la grande distribution (...)</w:t>
      </w:r>
      <w:r>
        <w:rPr>
          <w:lang w:val="fr-FR"/>
        </w:rPr>
        <w:t>.</w:t>
      </w:r>
      <w:r w:rsidRPr="008C2D4D">
        <w:rPr>
          <w:lang w:val="fr-FR"/>
        </w:rPr>
        <w:t> »</w:t>
      </w:r>
    </w:p>
    <w:p w:rsidR="009E78BF" w:rsidRPr="008C2D4D" w:rsidRDefault="009E78BF" w:rsidP="00195DFB">
      <w:pPr>
        <w:pStyle w:val="ECHRPara"/>
        <w:rPr>
          <w:lang w:val="fr-FR"/>
        </w:rPr>
      </w:pPr>
      <w:r>
        <w:rPr>
          <w:lang w:val="fr-FR"/>
        </w:rPr>
        <w:t>10</w:t>
      </w:r>
      <w:r w:rsidRPr="008C2D4D">
        <w:rPr>
          <w:lang w:val="fr-FR"/>
        </w:rPr>
        <w:t xml:space="preserve">.  Le 8 décembre 2007, le journal local </w:t>
      </w:r>
      <w:r w:rsidRPr="008C2D4D">
        <w:rPr>
          <w:i/>
          <w:lang w:val="fr-FR"/>
        </w:rPr>
        <w:t>La Provincia Cosentina</w:t>
      </w:r>
      <w:r w:rsidRPr="008C2D4D">
        <w:rPr>
          <w:lang w:val="fr-FR"/>
        </w:rPr>
        <w:t xml:space="preserve"> publia un article </w:t>
      </w:r>
      <w:r>
        <w:rPr>
          <w:lang w:val="fr-FR"/>
        </w:rPr>
        <w:t>intitulé</w:t>
      </w:r>
      <w:r w:rsidRPr="008C2D4D">
        <w:rPr>
          <w:lang w:val="fr-FR"/>
        </w:rPr>
        <w:t xml:space="preserve"> « Capitaux obscurs, voici les noms. Projecteurs allumés sur le groupe Gatto ». </w:t>
      </w:r>
      <w:r>
        <w:rPr>
          <w:lang w:val="fr-FR"/>
        </w:rPr>
        <w:t xml:space="preserve">Cet </w:t>
      </w:r>
      <w:r w:rsidRPr="008C2D4D">
        <w:rPr>
          <w:lang w:val="fr-FR"/>
        </w:rPr>
        <w:t>article contenait les passages suivants :</w:t>
      </w:r>
    </w:p>
    <w:p w:rsidR="009E78BF" w:rsidRPr="008C2D4D" w:rsidRDefault="009E78BF" w:rsidP="00195DFB">
      <w:pPr>
        <w:pStyle w:val="ECHRParaQuote"/>
        <w:rPr>
          <w:lang w:val="fr-FR"/>
        </w:rPr>
      </w:pPr>
      <w:r w:rsidRPr="008C2D4D">
        <w:rPr>
          <w:lang w:val="fr-FR"/>
        </w:rPr>
        <w:t>« C</w:t>
      </w:r>
      <w:r w:rsidR="00DC51BC">
        <w:rPr>
          <w:lang w:val="fr-FR"/>
        </w:rPr>
        <w:t>’</w:t>
      </w:r>
      <w:r w:rsidRPr="008C2D4D">
        <w:rPr>
          <w:lang w:val="fr-FR"/>
        </w:rPr>
        <w:t>est le cabin</w:t>
      </w:r>
      <w:r>
        <w:rPr>
          <w:lang w:val="fr-FR"/>
        </w:rPr>
        <w:t>et Indrieri-Gatto, le tandem d</w:t>
      </w:r>
      <w:r w:rsidR="00DC51BC">
        <w:rPr>
          <w:lang w:val="fr-FR"/>
        </w:rPr>
        <w:t>’</w:t>
      </w:r>
      <w:r>
        <w:rPr>
          <w:lang w:val="fr-FR"/>
        </w:rPr>
        <w:t xml:space="preserve">experts comptables </w:t>
      </w:r>
      <w:r w:rsidRPr="008C2D4D">
        <w:rPr>
          <w:lang w:val="fr-FR"/>
        </w:rPr>
        <w:t>de Cosenza qui a été indiqué par [L.] dans le rapport présenté à la commission parlementaire. Un rapport dans lequel il était suggéré que le cabinet en question avait géré, bien que d</w:t>
      </w:r>
      <w:r w:rsidR="00DC51BC">
        <w:rPr>
          <w:lang w:val="fr-FR"/>
        </w:rPr>
        <w:t>’</w:t>
      </w:r>
      <w:r w:rsidRPr="008C2D4D">
        <w:rPr>
          <w:lang w:val="fr-FR"/>
        </w:rPr>
        <w:t xml:space="preserve">une manière qui doit encore être vérifiée, le flux financier de la </w:t>
      </w:r>
      <w:r w:rsidR="00DC51BC">
        <w:rPr>
          <w:lang w:val="fr-FR"/>
        </w:rPr>
        <w:t>‘</w:t>
      </w:r>
      <w:r w:rsidRPr="008C2D4D">
        <w:rPr>
          <w:i/>
          <w:lang w:val="fr-FR"/>
        </w:rPr>
        <w:t>ndrangheta</w:t>
      </w:r>
      <w:r w:rsidRPr="008C2D4D">
        <w:rPr>
          <w:lang w:val="fr-FR"/>
        </w:rPr>
        <w:t>. Une accusation lourde qui</w:t>
      </w:r>
      <w:r>
        <w:rPr>
          <w:lang w:val="fr-FR"/>
        </w:rPr>
        <w:t xml:space="preserve">, </w:t>
      </w:r>
      <w:r w:rsidRPr="008C2D4D">
        <w:rPr>
          <w:lang w:val="fr-FR"/>
        </w:rPr>
        <w:t>pour le moment</w:t>
      </w:r>
      <w:r>
        <w:rPr>
          <w:lang w:val="fr-FR"/>
        </w:rPr>
        <w:t>,</w:t>
      </w:r>
      <w:r w:rsidRPr="008C2D4D">
        <w:rPr>
          <w:lang w:val="fr-FR"/>
        </w:rPr>
        <w:t xml:space="preserve"> n</w:t>
      </w:r>
      <w:r w:rsidR="00DC51BC">
        <w:rPr>
          <w:lang w:val="fr-FR"/>
        </w:rPr>
        <w:t>’</w:t>
      </w:r>
      <w:r w:rsidRPr="008C2D4D">
        <w:rPr>
          <w:lang w:val="fr-FR"/>
        </w:rPr>
        <w:t xml:space="preserve">a pas été étayée par des investigations </w:t>
      </w:r>
      <w:r>
        <w:rPr>
          <w:lang w:val="fr-FR"/>
        </w:rPr>
        <w:t>formelles</w:t>
      </w:r>
      <w:r w:rsidRPr="008C2D4D">
        <w:rPr>
          <w:lang w:val="fr-FR"/>
        </w:rPr>
        <w:t>.</w:t>
      </w:r>
    </w:p>
    <w:p w:rsidR="009E78BF" w:rsidRPr="008C2D4D" w:rsidRDefault="009E78BF" w:rsidP="00195DFB">
      <w:pPr>
        <w:pStyle w:val="ECHRParaQuote"/>
        <w:rPr>
          <w:lang w:val="fr-FR"/>
        </w:rPr>
      </w:pPr>
      <w:r w:rsidRPr="008C2D4D">
        <w:rPr>
          <w:lang w:val="fr-FR"/>
        </w:rPr>
        <w:t>L</w:t>
      </w:r>
      <w:r w:rsidR="00DC51BC">
        <w:rPr>
          <w:lang w:val="fr-FR"/>
        </w:rPr>
        <w:t>’</w:t>
      </w:r>
      <w:r w:rsidRPr="008C2D4D">
        <w:rPr>
          <w:lang w:val="fr-FR"/>
        </w:rPr>
        <w:t>un des associés du cabinet est S. Gatto, frère d</w:t>
      </w:r>
      <w:r w:rsidR="00DC51BC">
        <w:rPr>
          <w:lang w:val="fr-FR"/>
        </w:rPr>
        <w:t>’</w:t>
      </w:r>
      <w:r w:rsidRPr="008C2D4D">
        <w:rPr>
          <w:lang w:val="fr-FR"/>
        </w:rPr>
        <w:t>Antonio Gatto, le roi des hypermarchés qui a fait l</w:t>
      </w:r>
      <w:r w:rsidR="00DC51BC">
        <w:rPr>
          <w:lang w:val="fr-FR"/>
        </w:rPr>
        <w:t>’</w:t>
      </w:r>
      <w:r w:rsidRPr="008C2D4D">
        <w:rPr>
          <w:lang w:val="fr-FR"/>
        </w:rPr>
        <w:t>objet, il y a quelques mois, d</w:t>
      </w:r>
      <w:r w:rsidR="00DC51BC">
        <w:rPr>
          <w:lang w:val="fr-FR"/>
        </w:rPr>
        <w:t>’</w:t>
      </w:r>
      <w:r w:rsidRPr="008C2D4D">
        <w:rPr>
          <w:lang w:val="fr-FR"/>
        </w:rPr>
        <w:t>une série de perquisitions menées dans le cadre d</w:t>
      </w:r>
      <w:r w:rsidR="00DC51BC">
        <w:rPr>
          <w:lang w:val="fr-FR"/>
        </w:rPr>
        <w:t>’</w:t>
      </w:r>
      <w:r w:rsidRPr="008C2D4D">
        <w:rPr>
          <w:lang w:val="fr-FR"/>
        </w:rPr>
        <w:t xml:space="preserve">une enquête de la </w:t>
      </w:r>
      <w:r>
        <w:rPr>
          <w:lang w:val="fr-FR"/>
        </w:rPr>
        <w:t>DNA</w:t>
      </w:r>
      <w:r w:rsidRPr="008C2D4D">
        <w:rPr>
          <w:lang w:val="fr-FR"/>
        </w:rPr>
        <w:t xml:space="preserve"> de Reggio de Calabre (...). Il est opportun de rappeler qu</w:t>
      </w:r>
      <w:r w:rsidR="00DC51BC">
        <w:rPr>
          <w:lang w:val="fr-FR"/>
        </w:rPr>
        <w:t>’</w:t>
      </w:r>
      <w:r w:rsidRPr="008C2D4D">
        <w:rPr>
          <w:lang w:val="fr-FR"/>
        </w:rPr>
        <w:t>il n</w:t>
      </w:r>
      <w:r w:rsidR="00DC51BC">
        <w:rPr>
          <w:lang w:val="fr-FR"/>
        </w:rPr>
        <w:t>’</w:t>
      </w:r>
      <w:r w:rsidRPr="008C2D4D">
        <w:rPr>
          <w:lang w:val="fr-FR"/>
        </w:rPr>
        <w:t>y a pas eu de notifications de poursuites (</w:t>
      </w:r>
      <w:r w:rsidRPr="008C2D4D">
        <w:rPr>
          <w:i/>
          <w:lang w:val="fr-FR"/>
        </w:rPr>
        <w:t>avvisi di garanzia</w:t>
      </w:r>
      <w:r w:rsidRPr="008C2D4D">
        <w:rPr>
          <w:lang w:val="fr-FR"/>
        </w:rPr>
        <w:t>) concernant ces faits et, donc, qu</w:t>
      </w:r>
      <w:r w:rsidR="00DC51BC">
        <w:rPr>
          <w:lang w:val="fr-FR"/>
        </w:rPr>
        <w:t>’</w:t>
      </w:r>
      <w:r w:rsidRPr="008C2D4D">
        <w:rPr>
          <w:lang w:val="fr-FR"/>
        </w:rPr>
        <w:t>il s</w:t>
      </w:r>
      <w:r w:rsidR="00DC51BC">
        <w:rPr>
          <w:lang w:val="fr-FR"/>
        </w:rPr>
        <w:t>’</w:t>
      </w:r>
      <w:r w:rsidRPr="008C2D4D">
        <w:rPr>
          <w:lang w:val="fr-FR"/>
        </w:rPr>
        <w:t>agit de personnes ayant un casier judiciaire vierge qui risqueraient de payer un prix élevé en termes d</w:t>
      </w:r>
      <w:r w:rsidR="00DC51BC">
        <w:rPr>
          <w:lang w:val="fr-FR"/>
        </w:rPr>
        <w:t>’</w:t>
      </w:r>
      <w:r w:rsidRPr="008C2D4D">
        <w:rPr>
          <w:lang w:val="fr-FR"/>
        </w:rPr>
        <w:t>image si tout cela n</w:t>
      </w:r>
      <w:r w:rsidR="00DC51BC">
        <w:rPr>
          <w:lang w:val="fr-FR"/>
        </w:rPr>
        <w:t>’</w:t>
      </w:r>
      <w:r w:rsidRPr="008C2D4D">
        <w:rPr>
          <w:lang w:val="fr-FR"/>
        </w:rPr>
        <w:t>était pas prouvé. Antonio Gatto est le plus important homme d</w:t>
      </w:r>
      <w:r w:rsidR="00DC51BC">
        <w:rPr>
          <w:lang w:val="fr-FR"/>
        </w:rPr>
        <w:t>’</w:t>
      </w:r>
      <w:r w:rsidRPr="008C2D4D">
        <w:rPr>
          <w:lang w:val="fr-FR"/>
        </w:rPr>
        <w:t xml:space="preserve">affaires calabrais (...). Pour le moment sur lui pèsent seulement des ombres. Les magistrats </w:t>
      </w:r>
      <w:r>
        <w:rPr>
          <w:lang w:val="fr-FR"/>
        </w:rPr>
        <w:t>doivent</w:t>
      </w:r>
      <w:r w:rsidRPr="008C2D4D">
        <w:rPr>
          <w:lang w:val="fr-FR"/>
        </w:rPr>
        <w:t xml:space="preserve"> clarifier le rôle de Gatto. Dans son propre intérêt et dans celui des calabrais ».</w:t>
      </w:r>
    </w:p>
    <w:p w:rsidR="009E78BF" w:rsidRPr="008C2D4D" w:rsidRDefault="009E78BF" w:rsidP="00195DFB">
      <w:pPr>
        <w:pStyle w:val="ECHRPara"/>
        <w:rPr>
          <w:lang w:val="fr-FR"/>
        </w:rPr>
      </w:pPr>
      <w:r>
        <w:rPr>
          <w:lang w:val="fr-FR"/>
        </w:rPr>
        <w:t>11.  </w:t>
      </w:r>
      <w:r w:rsidRPr="008C2D4D">
        <w:rPr>
          <w:lang w:val="fr-FR"/>
        </w:rPr>
        <w:t xml:space="preserve">Le 9 janvier 2008, L. déposa devant la commission </w:t>
      </w:r>
      <w:r>
        <w:rPr>
          <w:lang w:val="fr-FR"/>
        </w:rPr>
        <w:t xml:space="preserve">parlementaire </w:t>
      </w:r>
      <w:r w:rsidRPr="008C2D4D">
        <w:rPr>
          <w:lang w:val="fr-FR"/>
        </w:rPr>
        <w:t xml:space="preserve">un rapport écrit concernant les investigations menées par la </w:t>
      </w:r>
      <w:r>
        <w:rPr>
          <w:lang w:val="fr-FR"/>
        </w:rPr>
        <w:t>DNA</w:t>
      </w:r>
      <w:r w:rsidRPr="008C2D4D">
        <w:rPr>
          <w:lang w:val="fr-FR"/>
        </w:rPr>
        <w:t xml:space="preserve"> à l</w:t>
      </w:r>
      <w:r w:rsidR="00DC51BC">
        <w:rPr>
          <w:lang w:val="fr-FR"/>
        </w:rPr>
        <w:t>’</w:t>
      </w:r>
      <w:r w:rsidRPr="008C2D4D">
        <w:rPr>
          <w:lang w:val="fr-FR"/>
        </w:rPr>
        <w:t xml:space="preserve">encontre du requérant. Dans ce document, il était précisé que la procédure pénale </w:t>
      </w:r>
      <w:r>
        <w:rPr>
          <w:lang w:val="fr-FR"/>
        </w:rPr>
        <w:t xml:space="preserve">en question </w:t>
      </w:r>
      <w:r w:rsidRPr="008C2D4D">
        <w:rPr>
          <w:lang w:val="fr-FR"/>
        </w:rPr>
        <w:t>s</w:t>
      </w:r>
      <w:r w:rsidR="00DC51BC">
        <w:rPr>
          <w:lang w:val="fr-FR"/>
        </w:rPr>
        <w:t>’</w:t>
      </w:r>
      <w:r w:rsidRPr="008C2D4D">
        <w:rPr>
          <w:lang w:val="fr-FR"/>
        </w:rPr>
        <w:t xml:space="preserve">était </w:t>
      </w:r>
      <w:r>
        <w:rPr>
          <w:lang w:val="fr-FR"/>
        </w:rPr>
        <w:t>sold</w:t>
      </w:r>
      <w:r w:rsidRPr="008C2D4D">
        <w:rPr>
          <w:lang w:val="fr-FR"/>
        </w:rPr>
        <w:t>ée le 3 juillet 2006 par un non-lieu prononcé par le juge des investigations préliminaires.</w:t>
      </w:r>
    </w:p>
    <w:p w:rsidR="009E78BF" w:rsidRPr="008C2D4D" w:rsidRDefault="009E78BF" w:rsidP="00195DFB">
      <w:pPr>
        <w:pStyle w:val="ECHRPara"/>
        <w:rPr>
          <w:lang w:val="fr-FR"/>
        </w:rPr>
      </w:pPr>
      <w:r>
        <w:rPr>
          <w:lang w:val="fr-FR"/>
        </w:rPr>
        <w:t>12</w:t>
      </w:r>
      <w:r w:rsidRPr="008C2D4D">
        <w:rPr>
          <w:lang w:val="fr-FR"/>
        </w:rPr>
        <w:t>.  Le 5 février 2008, une nouvelle séance</w:t>
      </w:r>
      <w:r>
        <w:rPr>
          <w:lang w:val="fr-FR"/>
        </w:rPr>
        <w:t>, dédiée à l</w:t>
      </w:r>
      <w:r w:rsidR="00DC51BC">
        <w:rPr>
          <w:lang w:val="fr-FR"/>
        </w:rPr>
        <w:t>’</w:t>
      </w:r>
      <w:r>
        <w:rPr>
          <w:lang w:val="fr-FR"/>
        </w:rPr>
        <w:t xml:space="preserve">audition des </w:t>
      </w:r>
      <w:r w:rsidRPr="008C2D4D">
        <w:rPr>
          <w:lang w:val="fr-FR"/>
        </w:rPr>
        <w:t xml:space="preserve">procureurs de la section régionale de la </w:t>
      </w:r>
      <w:r>
        <w:rPr>
          <w:lang w:val="fr-FR"/>
        </w:rPr>
        <w:t>DNA,</w:t>
      </w:r>
      <w:r w:rsidRPr="008C2D4D">
        <w:rPr>
          <w:lang w:val="fr-FR"/>
        </w:rPr>
        <w:t xml:space="preserve"> se tint devant la commission parlementaire. Certains députés posèrent des questions concernant, entre autre</w:t>
      </w:r>
      <w:r>
        <w:rPr>
          <w:lang w:val="fr-FR"/>
        </w:rPr>
        <w:t>s</w:t>
      </w:r>
      <w:r w:rsidRPr="008C2D4D">
        <w:rPr>
          <w:lang w:val="fr-FR"/>
        </w:rPr>
        <w:t xml:space="preserve">, les rapports </w:t>
      </w:r>
      <w:r>
        <w:rPr>
          <w:lang w:val="fr-FR"/>
        </w:rPr>
        <w:t xml:space="preserve">existants </w:t>
      </w:r>
      <w:r w:rsidRPr="008C2D4D">
        <w:rPr>
          <w:lang w:val="fr-FR"/>
        </w:rPr>
        <w:t xml:space="preserve">en Calabre entre la grande distribution et la criminalité organisée. </w:t>
      </w:r>
      <w:r>
        <w:rPr>
          <w:lang w:val="fr-FR"/>
        </w:rPr>
        <w:t>Selon le requérant, l</w:t>
      </w:r>
      <w:r w:rsidRPr="008C2D4D">
        <w:rPr>
          <w:lang w:val="fr-FR"/>
        </w:rPr>
        <w:t>e compte-rendu des réponses des magistrats</w:t>
      </w:r>
      <w:r>
        <w:rPr>
          <w:lang w:val="fr-FR"/>
        </w:rPr>
        <w:t xml:space="preserve"> sur ces questions était couvert par le secret.</w:t>
      </w:r>
    </w:p>
    <w:p w:rsidR="009E78BF" w:rsidRPr="008C2D4D" w:rsidRDefault="009E78BF" w:rsidP="00195DFB">
      <w:pPr>
        <w:pStyle w:val="ECHRPara"/>
        <w:rPr>
          <w:lang w:val="fr-FR"/>
        </w:rPr>
      </w:pPr>
      <w:r>
        <w:rPr>
          <w:lang w:val="fr-FR"/>
        </w:rPr>
        <w:t>13</w:t>
      </w:r>
      <w:r w:rsidRPr="008C2D4D">
        <w:rPr>
          <w:lang w:val="fr-FR"/>
        </w:rPr>
        <w:t xml:space="preserve">.  Les 9 février 2008, </w:t>
      </w:r>
      <w:r>
        <w:rPr>
          <w:lang w:val="fr-FR"/>
        </w:rPr>
        <w:t>le journal</w:t>
      </w:r>
      <w:r w:rsidRPr="008C2D4D">
        <w:rPr>
          <w:lang w:val="fr-FR"/>
        </w:rPr>
        <w:t xml:space="preserve"> </w:t>
      </w:r>
      <w:r w:rsidRPr="008C2D4D">
        <w:rPr>
          <w:i/>
          <w:lang w:val="fr-FR"/>
        </w:rPr>
        <w:t>Calabria Ora</w:t>
      </w:r>
      <w:r w:rsidRPr="008C2D4D">
        <w:rPr>
          <w:lang w:val="fr-FR"/>
        </w:rPr>
        <w:t xml:space="preserve"> </w:t>
      </w:r>
      <w:r>
        <w:rPr>
          <w:lang w:val="fr-FR"/>
        </w:rPr>
        <w:t>publia un article intitulé</w:t>
      </w:r>
      <w:r w:rsidRPr="008C2D4D">
        <w:rPr>
          <w:lang w:val="fr-FR"/>
        </w:rPr>
        <w:t xml:space="preserve"> </w:t>
      </w:r>
      <w:r w:rsidRPr="00C91162">
        <w:rPr>
          <w:lang w:val="fr-FR"/>
        </w:rPr>
        <w:t>« Cinq procureurs sur Gatto »</w:t>
      </w:r>
      <w:r>
        <w:rPr>
          <w:lang w:val="fr-FR"/>
        </w:rPr>
        <w:t>,</w:t>
      </w:r>
      <w:r w:rsidRPr="008C2D4D">
        <w:rPr>
          <w:lang w:val="fr-FR"/>
        </w:rPr>
        <w:t xml:space="preserve"> concerna</w:t>
      </w:r>
      <w:r>
        <w:rPr>
          <w:lang w:val="fr-FR"/>
        </w:rPr>
        <w:t>n</w:t>
      </w:r>
      <w:r w:rsidRPr="008C2D4D">
        <w:rPr>
          <w:lang w:val="fr-FR"/>
        </w:rPr>
        <w:t>t l</w:t>
      </w:r>
      <w:r w:rsidR="00DC51BC">
        <w:rPr>
          <w:lang w:val="fr-FR"/>
        </w:rPr>
        <w:t>’</w:t>
      </w:r>
      <w:r w:rsidRPr="008C2D4D">
        <w:rPr>
          <w:lang w:val="fr-FR"/>
        </w:rPr>
        <w:t>existence d</w:t>
      </w:r>
      <w:r>
        <w:rPr>
          <w:lang w:val="fr-FR"/>
        </w:rPr>
        <w:t xml:space="preserve">e plusieurs </w:t>
      </w:r>
      <w:r w:rsidRPr="008C2D4D">
        <w:rPr>
          <w:lang w:val="fr-FR"/>
        </w:rPr>
        <w:t>enquêtes pénales menées à l</w:t>
      </w:r>
      <w:r w:rsidR="00DC51BC">
        <w:rPr>
          <w:lang w:val="fr-FR"/>
        </w:rPr>
        <w:t>’</w:t>
      </w:r>
      <w:r w:rsidRPr="008C2D4D">
        <w:rPr>
          <w:lang w:val="fr-FR"/>
        </w:rPr>
        <w:t xml:space="preserve">encontre du requérant </w:t>
      </w:r>
      <w:r>
        <w:rPr>
          <w:lang w:val="fr-FR"/>
        </w:rPr>
        <w:t xml:space="preserve">pour les infractions </w:t>
      </w:r>
      <w:r w:rsidRPr="008C2D4D">
        <w:rPr>
          <w:lang w:val="fr-FR"/>
        </w:rPr>
        <w:t>de financement illégal de</w:t>
      </w:r>
      <w:r>
        <w:rPr>
          <w:lang w:val="fr-FR"/>
        </w:rPr>
        <w:t>s</w:t>
      </w:r>
      <w:r w:rsidRPr="008C2D4D">
        <w:rPr>
          <w:lang w:val="fr-FR"/>
        </w:rPr>
        <w:t xml:space="preserve"> partis politiques et blanchiment d</w:t>
      </w:r>
      <w:r w:rsidR="00DC51BC">
        <w:rPr>
          <w:lang w:val="fr-FR"/>
        </w:rPr>
        <w:t>’</w:t>
      </w:r>
      <w:r w:rsidRPr="008C2D4D">
        <w:rPr>
          <w:lang w:val="fr-FR"/>
        </w:rPr>
        <w:t xml:space="preserve">argent. </w:t>
      </w:r>
      <w:r>
        <w:rPr>
          <w:lang w:val="fr-FR"/>
        </w:rPr>
        <w:t>Afin d</w:t>
      </w:r>
      <w:r w:rsidR="00DC51BC">
        <w:rPr>
          <w:lang w:val="fr-FR"/>
        </w:rPr>
        <w:t>’</w:t>
      </w:r>
      <w:r>
        <w:rPr>
          <w:lang w:val="fr-FR"/>
        </w:rPr>
        <w:t>illustrer</w:t>
      </w:r>
      <w:r w:rsidRPr="008C2D4D">
        <w:rPr>
          <w:lang w:val="fr-FR"/>
        </w:rPr>
        <w:t xml:space="preserve"> les caractéristiques de</w:t>
      </w:r>
      <w:r>
        <w:rPr>
          <w:lang w:val="fr-FR"/>
        </w:rPr>
        <w:t>s sociétés</w:t>
      </w:r>
      <w:r w:rsidRPr="008C2D4D">
        <w:rPr>
          <w:lang w:val="fr-FR"/>
        </w:rPr>
        <w:t xml:space="preserve"> géré</w:t>
      </w:r>
      <w:r>
        <w:rPr>
          <w:lang w:val="fr-FR"/>
        </w:rPr>
        <w:t>es</w:t>
      </w:r>
      <w:r w:rsidRPr="008C2D4D">
        <w:rPr>
          <w:lang w:val="fr-FR"/>
        </w:rPr>
        <w:t xml:space="preserve"> par le requérant</w:t>
      </w:r>
      <w:r>
        <w:rPr>
          <w:lang w:val="fr-FR"/>
        </w:rPr>
        <w:t>,</w:t>
      </w:r>
      <w:r w:rsidRPr="008C2D4D">
        <w:rPr>
          <w:lang w:val="fr-FR"/>
        </w:rPr>
        <w:t xml:space="preserve"> </w:t>
      </w:r>
      <w:r>
        <w:rPr>
          <w:lang w:val="fr-FR"/>
        </w:rPr>
        <w:t>l</w:t>
      </w:r>
      <w:r w:rsidR="00DC51BC">
        <w:rPr>
          <w:lang w:val="fr-FR"/>
        </w:rPr>
        <w:t>’</w:t>
      </w:r>
      <w:r>
        <w:rPr>
          <w:lang w:val="fr-FR"/>
        </w:rPr>
        <w:t>article</w:t>
      </w:r>
      <w:r w:rsidRPr="008C2D4D">
        <w:rPr>
          <w:lang w:val="fr-FR"/>
        </w:rPr>
        <w:t xml:space="preserve"> s</w:t>
      </w:r>
      <w:r w:rsidR="00DC51BC">
        <w:rPr>
          <w:lang w:val="fr-FR"/>
        </w:rPr>
        <w:t>’</w:t>
      </w:r>
      <w:r w:rsidRPr="008C2D4D">
        <w:rPr>
          <w:lang w:val="fr-FR"/>
        </w:rPr>
        <w:t>appuyait</w:t>
      </w:r>
      <w:r>
        <w:rPr>
          <w:lang w:val="fr-FR"/>
        </w:rPr>
        <w:t>,</w:t>
      </w:r>
      <w:r w:rsidRPr="008C2D4D">
        <w:rPr>
          <w:lang w:val="fr-FR"/>
        </w:rPr>
        <w:t xml:space="preserve"> entre autres</w:t>
      </w:r>
      <w:r>
        <w:rPr>
          <w:lang w:val="fr-FR"/>
        </w:rPr>
        <w:t>,</w:t>
      </w:r>
      <w:r w:rsidRPr="008C2D4D">
        <w:rPr>
          <w:lang w:val="fr-FR"/>
        </w:rPr>
        <w:t xml:space="preserve"> sur le rapport </w:t>
      </w:r>
      <w:r>
        <w:rPr>
          <w:lang w:val="fr-FR"/>
        </w:rPr>
        <w:t>que</w:t>
      </w:r>
      <w:r w:rsidRPr="008C2D4D">
        <w:rPr>
          <w:lang w:val="fr-FR"/>
        </w:rPr>
        <w:t xml:space="preserve"> L. </w:t>
      </w:r>
      <w:r>
        <w:rPr>
          <w:lang w:val="fr-FR"/>
        </w:rPr>
        <w:t xml:space="preserve">avait </w:t>
      </w:r>
      <w:r w:rsidRPr="008C2D4D">
        <w:rPr>
          <w:lang w:val="fr-FR"/>
        </w:rPr>
        <w:t xml:space="preserve">présenté devant la </w:t>
      </w:r>
      <w:r>
        <w:rPr>
          <w:lang w:val="fr-FR"/>
        </w:rPr>
        <w:t>c</w:t>
      </w:r>
      <w:r w:rsidRPr="008C2D4D">
        <w:rPr>
          <w:lang w:val="fr-FR"/>
        </w:rPr>
        <w:t>ommission parlementaire.</w:t>
      </w:r>
    </w:p>
    <w:p w:rsidR="009E78BF" w:rsidRPr="008C2D4D" w:rsidRDefault="009E78BF" w:rsidP="00195DFB">
      <w:pPr>
        <w:pStyle w:val="ECHRPara"/>
        <w:rPr>
          <w:lang w:val="fr-FR"/>
        </w:rPr>
      </w:pPr>
      <w:r>
        <w:rPr>
          <w:lang w:val="fr-FR"/>
        </w:rPr>
        <w:lastRenderedPageBreak/>
        <w:t>14</w:t>
      </w:r>
      <w:r w:rsidRPr="008C2D4D">
        <w:rPr>
          <w:lang w:val="fr-FR"/>
        </w:rPr>
        <w:t xml:space="preserve">.  Le 19 février 2008, la commission parlementaire approuva un rapport de 200 pages sur le crime organisé en Calabre </w:t>
      </w:r>
      <w:r>
        <w:rPr>
          <w:lang w:val="fr-FR"/>
        </w:rPr>
        <w:t>intitulé</w:t>
      </w:r>
      <w:r w:rsidRPr="008C2D4D">
        <w:rPr>
          <w:lang w:val="fr-FR"/>
        </w:rPr>
        <w:t xml:space="preserve"> « </w:t>
      </w:r>
      <w:r w:rsidR="00DC51BC">
        <w:rPr>
          <w:lang w:val="fr-FR"/>
        </w:rPr>
        <w:t>’</w:t>
      </w:r>
      <w:r w:rsidRPr="008C2D4D">
        <w:rPr>
          <w:lang w:val="fr-FR"/>
        </w:rPr>
        <w:t xml:space="preserve">Ndrangheta. Boss, lieux et affaires de la mafia </w:t>
      </w:r>
      <w:r>
        <w:rPr>
          <w:lang w:val="fr-FR"/>
        </w:rPr>
        <w:t xml:space="preserve">la </w:t>
      </w:r>
      <w:r w:rsidRPr="008C2D4D">
        <w:rPr>
          <w:lang w:val="fr-FR"/>
        </w:rPr>
        <w:t xml:space="preserve">plus puissante </w:t>
      </w:r>
      <w:r>
        <w:rPr>
          <w:lang w:val="fr-FR"/>
        </w:rPr>
        <w:t>d</w:t>
      </w:r>
      <w:r w:rsidRPr="008C2D4D">
        <w:rPr>
          <w:lang w:val="fr-FR"/>
        </w:rPr>
        <w:t>u monde ». Les pages 157 et 158 de ce rapport contiennent des références au requérant</w:t>
      </w:r>
      <w:r>
        <w:rPr>
          <w:lang w:val="fr-FR"/>
        </w:rPr>
        <w:t>, dans un chapitre intitulé « Un cas emblématique »</w:t>
      </w:r>
      <w:r w:rsidRPr="008C2D4D">
        <w:rPr>
          <w:lang w:val="fr-FR"/>
        </w:rPr>
        <w:t>. Les passages pertinents sont ainsi rédigés :</w:t>
      </w:r>
    </w:p>
    <w:p w:rsidR="009E78BF" w:rsidRPr="008C2D4D" w:rsidRDefault="009E78BF" w:rsidP="00195DFB">
      <w:pPr>
        <w:pStyle w:val="ECHRParaQuote"/>
        <w:rPr>
          <w:lang w:val="fr-FR"/>
        </w:rPr>
      </w:pPr>
      <w:r w:rsidRPr="008C2D4D">
        <w:rPr>
          <w:lang w:val="fr-FR"/>
        </w:rPr>
        <w:t>« Il est utile d</w:t>
      </w:r>
      <w:r w:rsidR="00DC51BC">
        <w:rPr>
          <w:lang w:val="fr-FR"/>
        </w:rPr>
        <w:t>’</w:t>
      </w:r>
      <w:r w:rsidRPr="008C2D4D">
        <w:rPr>
          <w:lang w:val="fr-FR"/>
        </w:rPr>
        <w:t xml:space="preserve">analyser </w:t>
      </w:r>
      <w:r>
        <w:rPr>
          <w:lang w:val="fr-FR"/>
        </w:rPr>
        <w:t>la situation</w:t>
      </w:r>
      <w:r w:rsidRPr="008C2D4D">
        <w:rPr>
          <w:lang w:val="fr-FR"/>
        </w:rPr>
        <w:t xml:space="preserve"> de certaines sociétés bénéficiaires de subventions publiques, sur la base d</w:t>
      </w:r>
      <w:r w:rsidR="00DC51BC">
        <w:rPr>
          <w:lang w:val="fr-FR"/>
        </w:rPr>
        <w:t>’</w:t>
      </w:r>
      <w:r w:rsidRPr="008C2D4D">
        <w:rPr>
          <w:lang w:val="fr-FR"/>
        </w:rPr>
        <w:t xml:space="preserve">une vérification autonome effectuée par la </w:t>
      </w:r>
      <w:r>
        <w:rPr>
          <w:lang w:val="fr-FR"/>
        </w:rPr>
        <w:t>DNA</w:t>
      </w:r>
      <w:r w:rsidRPr="008C2D4D">
        <w:rPr>
          <w:lang w:val="fr-FR"/>
        </w:rPr>
        <w:t xml:space="preserve"> en 2004. Les points pertinents, selon la </w:t>
      </w:r>
      <w:r>
        <w:rPr>
          <w:lang w:val="fr-FR"/>
        </w:rPr>
        <w:t>DNA</w:t>
      </w:r>
      <w:r w:rsidRPr="008C2D4D">
        <w:rPr>
          <w:lang w:val="fr-FR"/>
        </w:rPr>
        <w:t>, sont les suivants :</w:t>
      </w:r>
    </w:p>
    <w:p w:rsidR="009E78BF" w:rsidRPr="008C2D4D" w:rsidRDefault="009E78BF" w:rsidP="00195DFB">
      <w:pPr>
        <w:pStyle w:val="ECHRParaQuote"/>
        <w:rPr>
          <w:lang w:val="fr-FR"/>
        </w:rPr>
      </w:pPr>
      <w:r w:rsidRPr="008C2D4D">
        <w:rPr>
          <w:lang w:val="fr-FR"/>
        </w:rPr>
        <w:t xml:space="preserve">- une richesse calabraise </w:t>
      </w:r>
      <w:r>
        <w:rPr>
          <w:lang w:val="fr-FR"/>
        </w:rPr>
        <w:t>consistant en</w:t>
      </w:r>
      <w:r w:rsidRPr="008C2D4D">
        <w:rPr>
          <w:lang w:val="fr-FR"/>
        </w:rPr>
        <w:t xml:space="preserve"> d</w:t>
      </w:r>
      <w:r w:rsidR="00DC51BC">
        <w:rPr>
          <w:lang w:val="fr-FR"/>
        </w:rPr>
        <w:t>’</w:t>
      </w:r>
      <w:r w:rsidRPr="008C2D4D">
        <w:rPr>
          <w:lang w:val="fr-FR"/>
        </w:rPr>
        <w:t>énormes capitaux et d</w:t>
      </w:r>
      <w:r w:rsidR="00DC51BC">
        <w:rPr>
          <w:lang w:val="fr-FR"/>
        </w:rPr>
        <w:t>’</w:t>
      </w:r>
      <w:r w:rsidRPr="008C2D4D">
        <w:rPr>
          <w:lang w:val="fr-FR"/>
        </w:rPr>
        <w:t xml:space="preserve">importants patrimoines immobiliers (2479 immeubles et 2260 terrains), en </w:t>
      </w:r>
      <w:r>
        <w:rPr>
          <w:lang w:val="fr-FR"/>
        </w:rPr>
        <w:t xml:space="preserve">contradiction </w:t>
      </w:r>
      <w:r w:rsidRPr="008C2D4D">
        <w:rPr>
          <w:lang w:val="fr-FR"/>
        </w:rPr>
        <w:t>évidente avec le niveau</w:t>
      </w:r>
      <w:r w:rsidR="00901DAE">
        <w:rPr>
          <w:lang w:val="fr-FR"/>
        </w:rPr>
        <w:t xml:space="preserve"> </w:t>
      </w:r>
      <w:r w:rsidRPr="008C2D4D">
        <w:rPr>
          <w:lang w:val="fr-FR"/>
        </w:rPr>
        <w:t xml:space="preserve">des revenus déclarés par beaucoup </w:t>
      </w:r>
      <w:r>
        <w:rPr>
          <w:lang w:val="fr-FR"/>
        </w:rPr>
        <w:t>de</w:t>
      </w:r>
      <w:r w:rsidRPr="008C2D4D">
        <w:rPr>
          <w:lang w:val="fr-FR"/>
        </w:rPr>
        <w:t>s détenteurs d</w:t>
      </w:r>
      <w:r w:rsidR="00DC51BC">
        <w:rPr>
          <w:lang w:val="fr-FR"/>
        </w:rPr>
        <w:t>’</w:t>
      </w:r>
      <w:r w:rsidRPr="008C2D4D">
        <w:rPr>
          <w:lang w:val="fr-FR"/>
        </w:rPr>
        <w:t>une telle richesse ;</w:t>
      </w:r>
    </w:p>
    <w:p w:rsidR="009E78BF" w:rsidRPr="008C2D4D" w:rsidRDefault="009E78BF" w:rsidP="00195DFB">
      <w:pPr>
        <w:pStyle w:val="ECHRParaQuote"/>
        <w:rPr>
          <w:lang w:val="fr-FR"/>
        </w:rPr>
      </w:pPr>
      <w:r w:rsidRPr="008C2D4D">
        <w:rPr>
          <w:lang w:val="fr-FR"/>
        </w:rPr>
        <w:t>- la concentration de ladite richesse dans les mains de quelques sujets. À cet égard, il suffit de relever qu</w:t>
      </w:r>
      <w:r w:rsidR="00DC51BC">
        <w:rPr>
          <w:lang w:val="fr-FR"/>
        </w:rPr>
        <w:t>’</w:t>
      </w:r>
      <w:r w:rsidRPr="008C2D4D">
        <w:rPr>
          <w:lang w:val="fr-FR"/>
        </w:rPr>
        <w:t xml:space="preserve">auprès du cabinet commercial de </w:t>
      </w:r>
      <w:r>
        <w:rPr>
          <w:lang w:val="fr-FR"/>
        </w:rPr>
        <w:t>F.I.</w:t>
      </w:r>
      <w:r w:rsidRPr="008C2D4D">
        <w:rPr>
          <w:lang w:val="fr-FR"/>
        </w:rPr>
        <w:t xml:space="preserve">., appartenant au groupe économique Gatto, </w:t>
      </w:r>
      <w:r>
        <w:rPr>
          <w:lang w:val="fr-FR"/>
        </w:rPr>
        <w:t xml:space="preserve">(...) </w:t>
      </w:r>
      <w:r w:rsidRPr="008C2D4D">
        <w:rPr>
          <w:lang w:val="fr-FR"/>
        </w:rPr>
        <w:t>sont domiciliées 43 sociétés ;</w:t>
      </w:r>
    </w:p>
    <w:p w:rsidR="009E78BF" w:rsidRPr="008C2D4D" w:rsidRDefault="009E78BF" w:rsidP="00195DFB">
      <w:pPr>
        <w:pStyle w:val="ECHRParaQuote"/>
        <w:rPr>
          <w:lang w:val="fr-FR"/>
        </w:rPr>
      </w:pPr>
      <w:r w:rsidRPr="008C2D4D">
        <w:rPr>
          <w:lang w:val="fr-FR"/>
        </w:rPr>
        <w:t>- la rapidité de l</w:t>
      </w:r>
      <w:r w:rsidR="00DC51BC">
        <w:rPr>
          <w:lang w:val="fr-FR"/>
        </w:rPr>
        <w:t>’</w:t>
      </w:r>
      <w:r w:rsidRPr="008C2D4D">
        <w:rPr>
          <w:lang w:val="fr-FR"/>
        </w:rPr>
        <w:t>accumulation de la richesse : la société leader du groupe</w:t>
      </w:r>
      <w:r>
        <w:rPr>
          <w:lang w:val="fr-FR"/>
        </w:rPr>
        <w:t>,</w:t>
      </w:r>
      <w:r w:rsidRPr="008C2D4D">
        <w:rPr>
          <w:lang w:val="fr-FR"/>
        </w:rPr>
        <w:t xml:space="preserve"> F., liée aux familles Gatto et C., </w:t>
      </w:r>
      <w:r>
        <w:rPr>
          <w:lang w:val="fr-FR"/>
        </w:rPr>
        <w:t>qui opère</w:t>
      </w:r>
      <w:r w:rsidRPr="008C2D4D">
        <w:rPr>
          <w:lang w:val="fr-FR"/>
        </w:rPr>
        <w:t xml:space="preserve"> comme une véritable </w:t>
      </w:r>
      <w:r w:rsidRPr="008C2D4D">
        <w:rPr>
          <w:i/>
          <w:lang w:val="fr-FR"/>
        </w:rPr>
        <w:t>holding</w:t>
      </w:r>
      <w:r w:rsidRPr="008C2D4D">
        <w:rPr>
          <w:lang w:val="fr-FR"/>
        </w:rPr>
        <w:t xml:space="preserve"> financière, a été constituée </w:t>
      </w:r>
      <w:r>
        <w:rPr>
          <w:lang w:val="fr-FR"/>
        </w:rPr>
        <w:t xml:space="preserve">à Rome </w:t>
      </w:r>
      <w:r w:rsidRPr="008C2D4D">
        <w:rPr>
          <w:lang w:val="fr-FR"/>
        </w:rPr>
        <w:t xml:space="preserve">en 1993 et, à </w:t>
      </w:r>
      <w:r>
        <w:rPr>
          <w:lang w:val="fr-FR"/>
        </w:rPr>
        <w:t>partir</w:t>
      </w:r>
      <w:r w:rsidRPr="008C2D4D">
        <w:rPr>
          <w:lang w:val="fr-FR"/>
        </w:rPr>
        <w:t xml:space="preserve"> de l</w:t>
      </w:r>
      <w:r w:rsidR="00DC51BC">
        <w:rPr>
          <w:lang w:val="fr-FR"/>
        </w:rPr>
        <w:t>’</w:t>
      </w:r>
      <w:r w:rsidRPr="008C2D4D">
        <w:rPr>
          <w:lang w:val="fr-FR"/>
        </w:rPr>
        <w:t>année suivante, n</w:t>
      </w:r>
      <w:r w:rsidR="00DC51BC">
        <w:rPr>
          <w:lang w:val="fr-FR"/>
        </w:rPr>
        <w:t>’</w:t>
      </w:r>
      <w:r w:rsidRPr="008C2D4D">
        <w:rPr>
          <w:lang w:val="fr-FR"/>
        </w:rPr>
        <w:t xml:space="preserve">a pas cessé de se développer, avec des investissements dans des secteurs </w:t>
      </w:r>
      <w:r>
        <w:rPr>
          <w:lang w:val="fr-FR"/>
        </w:rPr>
        <w:t>les plus diversifiés</w:t>
      </w:r>
      <w:r w:rsidRPr="008C2D4D">
        <w:rPr>
          <w:lang w:val="fr-FR"/>
        </w:rPr>
        <w:t>, tels que la grande distribution alimentaire, le textile, le secteur immobilier, le traitement des déchets ;</w:t>
      </w:r>
    </w:p>
    <w:p w:rsidR="009E78BF" w:rsidRPr="008C2D4D" w:rsidRDefault="009E78BF" w:rsidP="00195DFB">
      <w:pPr>
        <w:pStyle w:val="ECHRParaQuote"/>
        <w:rPr>
          <w:lang w:val="fr-FR"/>
        </w:rPr>
      </w:pPr>
      <w:r w:rsidRPr="008C2D4D">
        <w:rPr>
          <w:lang w:val="fr-FR"/>
        </w:rPr>
        <w:t>- le</w:t>
      </w:r>
      <w:r>
        <w:rPr>
          <w:lang w:val="fr-FR"/>
        </w:rPr>
        <w:t>s connexions</w:t>
      </w:r>
      <w:r w:rsidRPr="008C2D4D">
        <w:rPr>
          <w:lang w:val="fr-FR"/>
        </w:rPr>
        <w:t xml:space="preserve"> </w:t>
      </w:r>
      <w:r>
        <w:rPr>
          <w:lang w:val="fr-FR"/>
        </w:rPr>
        <w:t>d</w:t>
      </w:r>
      <w:r w:rsidRPr="008C2D4D">
        <w:rPr>
          <w:lang w:val="fr-FR"/>
        </w:rPr>
        <w:t>es représentants des groupes économiques susmentionnés</w:t>
      </w:r>
      <w:r>
        <w:rPr>
          <w:lang w:val="fr-FR"/>
        </w:rPr>
        <w:t xml:space="preserve"> avec des sociétés dont</w:t>
      </w:r>
      <w:r w:rsidRPr="008C2D4D">
        <w:rPr>
          <w:lang w:val="fr-FR"/>
        </w:rPr>
        <w:t xml:space="preserve"> font partie des personnes notoirement lié</w:t>
      </w:r>
      <w:r>
        <w:rPr>
          <w:lang w:val="fr-FR"/>
        </w:rPr>
        <w:t>e</w:t>
      </w:r>
      <w:r w:rsidRPr="008C2D4D">
        <w:rPr>
          <w:lang w:val="fr-FR"/>
        </w:rPr>
        <w:t>s à des milieux criminels. A.G., frère de P. G.</w:t>
      </w:r>
      <w:r>
        <w:rPr>
          <w:lang w:val="fr-FR"/>
        </w:rPr>
        <w:t xml:space="preserve"> (...),</w:t>
      </w:r>
      <w:r w:rsidRPr="008C2D4D">
        <w:rPr>
          <w:lang w:val="fr-FR"/>
        </w:rPr>
        <w:t xml:space="preserve"> assassiné en 1992 dans un attentat mafieux, est associé</w:t>
      </w:r>
      <w:r>
        <w:rPr>
          <w:lang w:val="fr-FR"/>
        </w:rPr>
        <w:t xml:space="preserve"> (...) </w:t>
      </w:r>
      <w:r w:rsidRPr="008C2D4D">
        <w:rPr>
          <w:lang w:val="fr-FR"/>
        </w:rPr>
        <w:t xml:space="preserve">de </w:t>
      </w:r>
      <w:r>
        <w:rPr>
          <w:lang w:val="fr-FR"/>
        </w:rPr>
        <w:t>[la société] E. (...),</w:t>
      </w:r>
      <w:r w:rsidRPr="008C2D4D">
        <w:rPr>
          <w:lang w:val="fr-FR"/>
        </w:rPr>
        <w:t xml:space="preserve"> </w:t>
      </w:r>
      <w:r>
        <w:rPr>
          <w:lang w:val="fr-FR"/>
        </w:rPr>
        <w:t xml:space="preserve">qui a </w:t>
      </w:r>
      <w:r w:rsidRPr="008C2D4D">
        <w:rPr>
          <w:lang w:val="fr-FR"/>
        </w:rPr>
        <w:t xml:space="preserve">fusionné </w:t>
      </w:r>
      <w:r>
        <w:rPr>
          <w:lang w:val="fr-FR"/>
        </w:rPr>
        <w:t>par la suite avec</w:t>
      </w:r>
      <w:r w:rsidRPr="008C2D4D">
        <w:rPr>
          <w:lang w:val="fr-FR"/>
        </w:rPr>
        <w:t xml:space="preserve"> </w:t>
      </w:r>
      <w:r>
        <w:rPr>
          <w:lang w:val="fr-FR"/>
        </w:rPr>
        <w:t>[</w:t>
      </w:r>
      <w:r w:rsidRPr="008C2D4D">
        <w:rPr>
          <w:lang w:val="fr-FR"/>
        </w:rPr>
        <w:t>la</w:t>
      </w:r>
      <w:r>
        <w:rPr>
          <w:lang w:val="fr-FR"/>
        </w:rPr>
        <w:t xml:space="preserve"> société] </w:t>
      </w:r>
      <w:r w:rsidRPr="008C2D4D">
        <w:rPr>
          <w:lang w:val="fr-FR"/>
        </w:rPr>
        <w:t>G.</w:t>
      </w:r>
      <w:r>
        <w:rPr>
          <w:lang w:val="fr-FR"/>
        </w:rPr>
        <w:t>, [possédée par]</w:t>
      </w:r>
      <w:r w:rsidRPr="008C2D4D">
        <w:rPr>
          <w:lang w:val="fr-FR"/>
        </w:rPr>
        <w:t xml:space="preserve"> Antonino Gatto et autres.</w:t>
      </w:r>
    </w:p>
    <w:p w:rsidR="009E78BF" w:rsidRDefault="009E78BF" w:rsidP="00195DFB">
      <w:pPr>
        <w:pStyle w:val="ECHRParaQuote"/>
        <w:rPr>
          <w:lang w:val="fr-FR"/>
        </w:rPr>
      </w:pPr>
      <w:r w:rsidRPr="008C2D4D">
        <w:rPr>
          <w:lang w:val="fr-FR"/>
        </w:rPr>
        <w:t>(...)</w:t>
      </w:r>
    </w:p>
    <w:p w:rsidR="009E78BF" w:rsidRPr="008C2D4D" w:rsidRDefault="009E78BF" w:rsidP="00195DFB">
      <w:pPr>
        <w:pStyle w:val="ECHRParaQuote"/>
        <w:rPr>
          <w:lang w:val="fr-FR"/>
        </w:rPr>
      </w:pPr>
      <w:r w:rsidRPr="008C2D4D">
        <w:rPr>
          <w:lang w:val="fr-FR"/>
        </w:rPr>
        <w:t xml:space="preserve">Actuellement Antonino </w:t>
      </w:r>
      <w:r>
        <w:rPr>
          <w:lang w:val="fr-FR"/>
        </w:rPr>
        <w:t xml:space="preserve">Giuseppe </w:t>
      </w:r>
      <w:r w:rsidRPr="008C2D4D">
        <w:rPr>
          <w:lang w:val="fr-FR"/>
        </w:rPr>
        <w:t>Gatto est</w:t>
      </w:r>
      <w:r>
        <w:rPr>
          <w:lang w:val="fr-FR"/>
        </w:rPr>
        <w:t xml:space="preserve"> le</w:t>
      </w:r>
      <w:r w:rsidRPr="008C2D4D">
        <w:rPr>
          <w:lang w:val="fr-FR"/>
        </w:rPr>
        <w:t xml:space="preserve"> président du comité directif de </w:t>
      </w:r>
      <w:r>
        <w:rPr>
          <w:lang w:val="fr-FR"/>
        </w:rPr>
        <w:t xml:space="preserve">[la société] </w:t>
      </w:r>
      <w:r w:rsidRPr="00F9459D">
        <w:rPr>
          <w:lang w:val="fr-FR"/>
        </w:rPr>
        <w:t>D. I.</w:t>
      </w:r>
      <w:r w:rsidRPr="008C2D4D">
        <w:rPr>
          <w:lang w:val="fr-FR"/>
        </w:rPr>
        <w:t xml:space="preserve">, à savoir </w:t>
      </w:r>
      <w:r>
        <w:rPr>
          <w:lang w:val="fr-FR"/>
        </w:rPr>
        <w:t xml:space="preserve">de </w:t>
      </w:r>
      <w:r w:rsidRPr="008C2D4D">
        <w:rPr>
          <w:lang w:val="fr-FR"/>
        </w:rPr>
        <w:t>l</w:t>
      </w:r>
      <w:r w:rsidR="00DC51BC">
        <w:rPr>
          <w:lang w:val="fr-FR"/>
        </w:rPr>
        <w:t>’</w:t>
      </w:r>
      <w:r w:rsidRPr="008C2D4D">
        <w:rPr>
          <w:lang w:val="fr-FR"/>
        </w:rPr>
        <w:t xml:space="preserve">organe qui définit les principales stratégies, les choix et les politiques de </w:t>
      </w:r>
      <w:r>
        <w:rPr>
          <w:lang w:val="fr-FR"/>
        </w:rPr>
        <w:t xml:space="preserve">[la société] </w:t>
      </w:r>
      <w:r w:rsidRPr="00F9459D">
        <w:rPr>
          <w:lang w:val="fr-FR"/>
        </w:rPr>
        <w:t>D. I.</w:t>
      </w:r>
      <w:r w:rsidRPr="008C2D4D">
        <w:rPr>
          <w:lang w:val="fr-FR"/>
        </w:rPr>
        <w:t xml:space="preserve"> sur le territoire national. </w:t>
      </w:r>
      <w:r>
        <w:rPr>
          <w:lang w:val="fr-FR"/>
        </w:rPr>
        <w:t>(...)</w:t>
      </w:r>
      <w:r w:rsidRPr="008C2D4D">
        <w:rPr>
          <w:lang w:val="fr-FR"/>
        </w:rPr>
        <w:t> ».</w:t>
      </w:r>
    </w:p>
    <w:p w:rsidR="009E78BF" w:rsidRPr="008C2D4D" w:rsidRDefault="009E78BF" w:rsidP="00195DFB">
      <w:pPr>
        <w:pStyle w:val="ECHRHeading3"/>
        <w:rPr>
          <w:lang w:val="fr-FR"/>
        </w:rPr>
      </w:pPr>
      <w:r>
        <w:rPr>
          <w:lang w:val="fr-FR"/>
        </w:rPr>
        <w:t>3.  L</w:t>
      </w:r>
      <w:r w:rsidR="00DC51BC">
        <w:rPr>
          <w:lang w:val="fr-FR"/>
        </w:rPr>
        <w:t>’</w:t>
      </w:r>
      <w:r>
        <w:rPr>
          <w:lang w:val="fr-FR"/>
        </w:rPr>
        <w:t>action civile en dédommagement du requérant</w:t>
      </w:r>
    </w:p>
    <w:p w:rsidR="009E78BF" w:rsidRDefault="009E78BF" w:rsidP="00195DFB">
      <w:pPr>
        <w:pStyle w:val="ECHRPara"/>
        <w:rPr>
          <w:lang w:val="fr-FR"/>
        </w:rPr>
      </w:pPr>
      <w:r>
        <w:rPr>
          <w:lang w:val="fr-FR"/>
        </w:rPr>
        <w:t>15.  Devant la Cour, et à la demande du greffe, le 13 janvier 2016 le Gouvernement a produit des documents concernant une procédure civile en dédommagement entamée par le requérant. Sur la base de ces documents, le déroulement de la procédure en question peut se résumer comme suit.</w:t>
      </w:r>
    </w:p>
    <w:p w:rsidR="009E78BF" w:rsidRDefault="009E78BF" w:rsidP="00195DFB">
      <w:pPr>
        <w:pStyle w:val="ECHRPara"/>
        <w:rPr>
          <w:lang w:val="fr-FR"/>
        </w:rPr>
      </w:pPr>
      <w:bookmarkStart w:id="1" w:name="actioncivilerequerant"/>
      <w:r>
        <w:rPr>
          <w:lang w:val="fr-FR"/>
        </w:rPr>
        <w:t>16</w:t>
      </w:r>
      <w:bookmarkEnd w:id="1"/>
      <w:r>
        <w:rPr>
          <w:lang w:val="fr-FR"/>
        </w:rPr>
        <w:t>.  </w:t>
      </w:r>
      <w:r w:rsidRPr="008C2D4D">
        <w:rPr>
          <w:lang w:val="fr-FR"/>
        </w:rPr>
        <w:t>En 2008, le requérant assigna le Sénat, la Chambre des députés, la commission parlementaire, le ministre de la Justice</w:t>
      </w:r>
      <w:r>
        <w:rPr>
          <w:lang w:val="fr-FR"/>
        </w:rPr>
        <w:t xml:space="preserve"> ainsi que</w:t>
      </w:r>
      <w:r w:rsidRPr="008C2D4D">
        <w:rPr>
          <w:lang w:val="fr-FR"/>
        </w:rPr>
        <w:t xml:space="preserve"> l</w:t>
      </w:r>
      <w:r w:rsidR="00DC51BC">
        <w:rPr>
          <w:lang w:val="fr-FR"/>
        </w:rPr>
        <w:t>’</w:t>
      </w:r>
      <w:r w:rsidRPr="008C2D4D">
        <w:rPr>
          <w:lang w:val="fr-FR"/>
        </w:rPr>
        <w:t xml:space="preserve">éditeur et le directeur du journal </w:t>
      </w:r>
      <w:r w:rsidRPr="008C2D4D">
        <w:rPr>
          <w:i/>
          <w:lang w:val="fr-FR"/>
        </w:rPr>
        <w:t>Calabria Ora</w:t>
      </w:r>
      <w:r w:rsidRPr="008C2D4D">
        <w:rPr>
          <w:lang w:val="fr-FR"/>
        </w:rPr>
        <w:t xml:space="preserve"> à comparaître devant le tribunal de Rome. </w:t>
      </w:r>
      <w:r>
        <w:rPr>
          <w:lang w:val="fr-FR"/>
        </w:rPr>
        <w:t>Il</w:t>
      </w:r>
      <w:r w:rsidRPr="008C2D4D">
        <w:rPr>
          <w:lang w:val="fr-FR"/>
        </w:rPr>
        <w:t xml:space="preserve"> allégua que lors de son audition devant la commission parlementaire, L. avait donné des informations fausses ou non corroborées par des éléments suffisants quant aux liens supposés que </w:t>
      </w:r>
      <w:r>
        <w:rPr>
          <w:lang w:val="fr-FR"/>
        </w:rPr>
        <w:t>les</w:t>
      </w:r>
      <w:r w:rsidRPr="008C2D4D">
        <w:rPr>
          <w:lang w:val="fr-FR"/>
        </w:rPr>
        <w:t xml:space="preserve"> entreprises</w:t>
      </w:r>
      <w:r>
        <w:rPr>
          <w:lang w:val="fr-FR"/>
        </w:rPr>
        <w:t xml:space="preserve"> du requérant</w:t>
      </w:r>
      <w:r w:rsidRPr="008C2D4D">
        <w:rPr>
          <w:lang w:val="fr-FR"/>
        </w:rPr>
        <w:t xml:space="preserve"> entretenaient avec la mafia. En dépit du fait que l</w:t>
      </w:r>
      <w:r w:rsidR="00DC51BC">
        <w:rPr>
          <w:lang w:val="fr-FR"/>
        </w:rPr>
        <w:t>’</w:t>
      </w:r>
      <w:r w:rsidRPr="008C2D4D">
        <w:rPr>
          <w:lang w:val="fr-FR"/>
        </w:rPr>
        <w:t xml:space="preserve">audition de L. aurait été en partie couverte par le secret, la commission parlementaire avait ensuite inséré ces informations dans son rapport, dont le contenu avait été repris par </w:t>
      </w:r>
      <w:r w:rsidRPr="008C2D4D">
        <w:rPr>
          <w:lang w:val="fr-FR"/>
        </w:rPr>
        <w:lastRenderedPageBreak/>
        <w:t xml:space="preserve">la presse, et notamment par le journal </w:t>
      </w:r>
      <w:r w:rsidRPr="008C2D4D">
        <w:rPr>
          <w:i/>
          <w:lang w:val="fr-FR"/>
        </w:rPr>
        <w:t>Calabria Ora</w:t>
      </w:r>
      <w:r w:rsidRPr="008C2D4D">
        <w:rPr>
          <w:lang w:val="fr-FR"/>
        </w:rPr>
        <w:t>. Selon le requérant, ceci avait terni sa réputation et celle de ses entreprises, soupçonnées de blanchir l</w:t>
      </w:r>
      <w:r w:rsidR="00DC51BC">
        <w:rPr>
          <w:lang w:val="fr-FR"/>
        </w:rPr>
        <w:t>’</w:t>
      </w:r>
      <w:r w:rsidRPr="008C2D4D">
        <w:rPr>
          <w:lang w:val="fr-FR"/>
        </w:rPr>
        <w:t>argent des organisations criminelles enracinées en Calabre. Dès lors, l</w:t>
      </w:r>
      <w:r w:rsidR="00DC51BC">
        <w:rPr>
          <w:lang w:val="fr-FR"/>
        </w:rPr>
        <w:t>’</w:t>
      </w:r>
      <w:r w:rsidRPr="008C2D4D">
        <w:rPr>
          <w:lang w:val="fr-FR"/>
        </w:rPr>
        <w:t>intéressé demandait la réparation des dommages subis, qu</w:t>
      </w:r>
      <w:r w:rsidR="00DC51BC">
        <w:rPr>
          <w:lang w:val="fr-FR"/>
        </w:rPr>
        <w:t>’</w:t>
      </w:r>
      <w:r w:rsidRPr="008C2D4D">
        <w:rPr>
          <w:lang w:val="fr-FR"/>
        </w:rPr>
        <w:t>il chiffrait à hauteur de 200 million d</w:t>
      </w:r>
      <w:r w:rsidR="00DC51BC">
        <w:rPr>
          <w:lang w:val="fr-FR"/>
        </w:rPr>
        <w:t>’</w:t>
      </w:r>
      <w:r w:rsidRPr="008C2D4D">
        <w:rPr>
          <w:lang w:val="fr-FR"/>
        </w:rPr>
        <w:t>euros (EUR).</w:t>
      </w:r>
    </w:p>
    <w:p w:rsidR="009E78BF" w:rsidRPr="008C2D4D" w:rsidRDefault="009E78BF" w:rsidP="00195DFB">
      <w:pPr>
        <w:pStyle w:val="ECHRPara"/>
        <w:rPr>
          <w:lang w:val="fr-FR"/>
        </w:rPr>
      </w:pPr>
      <w:bookmarkStart w:id="2" w:name="sentenzatribRoma1"/>
      <w:r>
        <w:rPr>
          <w:lang w:val="fr-FR"/>
        </w:rPr>
        <w:t>17</w:t>
      </w:r>
      <w:bookmarkEnd w:id="2"/>
      <w:r w:rsidRPr="008C2D4D">
        <w:rPr>
          <w:lang w:val="fr-FR"/>
        </w:rPr>
        <w:t>.  Par un jugement du 5 novembre 2012, dont le texte fut déposé au greffe le 13 novembre 2012, le tribunal rejeta le recours du requérant.</w:t>
      </w:r>
    </w:p>
    <w:p w:rsidR="009E78BF" w:rsidRPr="008C2D4D" w:rsidRDefault="009E78BF" w:rsidP="00195DFB">
      <w:pPr>
        <w:pStyle w:val="ECHRPara"/>
        <w:rPr>
          <w:lang w:val="fr-FR"/>
        </w:rPr>
      </w:pPr>
      <w:bookmarkStart w:id="3" w:name="sentenzatribRoma2"/>
      <w:r>
        <w:rPr>
          <w:lang w:val="fr-FR"/>
        </w:rPr>
        <w:t>18</w:t>
      </w:r>
      <w:bookmarkEnd w:id="3"/>
      <w:r w:rsidRPr="008C2D4D">
        <w:rPr>
          <w:lang w:val="fr-FR"/>
        </w:rPr>
        <w:t>.  Le tribunal observa d</w:t>
      </w:r>
      <w:r w:rsidR="00DC51BC">
        <w:rPr>
          <w:lang w:val="fr-FR"/>
        </w:rPr>
        <w:t>’</w:t>
      </w:r>
      <w:r w:rsidRPr="008C2D4D">
        <w:rPr>
          <w:lang w:val="fr-FR"/>
        </w:rPr>
        <w:t>emblée que dans son jugement n</w:t>
      </w:r>
      <w:r w:rsidRPr="009E78BF">
        <w:rPr>
          <w:vertAlign w:val="superscript"/>
          <w:lang w:val="fr-FR"/>
        </w:rPr>
        <w:t>o</w:t>
      </w:r>
      <w:r w:rsidRPr="008C2D4D">
        <w:rPr>
          <w:lang w:val="fr-FR"/>
        </w:rPr>
        <w:t xml:space="preserve"> 231 de 1975, la Cour constitutionnelle avait précisé que les commissions parlementaires d</w:t>
      </w:r>
      <w:r w:rsidR="00DC51BC">
        <w:rPr>
          <w:lang w:val="fr-FR"/>
        </w:rPr>
        <w:t>’</w:t>
      </w:r>
      <w:r w:rsidRPr="008C2D4D">
        <w:rPr>
          <w:lang w:val="fr-FR"/>
        </w:rPr>
        <w:t>enquête étaient appelées non pas à « juger » et/ou à établir l</w:t>
      </w:r>
      <w:r w:rsidR="00DC51BC">
        <w:rPr>
          <w:lang w:val="fr-FR"/>
        </w:rPr>
        <w:t>’</w:t>
      </w:r>
      <w:r w:rsidRPr="008C2D4D">
        <w:rPr>
          <w:lang w:val="fr-FR"/>
        </w:rPr>
        <w:t>existence d</w:t>
      </w:r>
      <w:r w:rsidR="00DC51BC">
        <w:rPr>
          <w:lang w:val="fr-FR"/>
        </w:rPr>
        <w:t>’</w:t>
      </w:r>
      <w:r w:rsidRPr="008C2D4D">
        <w:rPr>
          <w:lang w:val="fr-FR"/>
        </w:rPr>
        <w:t>infractions pénales, mais à recueillir des informations et des données utiles pour l</w:t>
      </w:r>
      <w:r w:rsidR="00DC51BC">
        <w:rPr>
          <w:lang w:val="fr-FR"/>
        </w:rPr>
        <w:t>’</w:t>
      </w:r>
      <w:r w:rsidRPr="008C2D4D">
        <w:rPr>
          <w:lang w:val="fr-FR"/>
        </w:rPr>
        <w:t>exercice des fonctions du Parlement. Les rapports des commissions parlementaires ne produisaient aucune modification juridique et avaient une finalité purement politique. Les personnes interrogées par une commission parlementaire n</w:t>
      </w:r>
      <w:r w:rsidR="00DC51BC">
        <w:rPr>
          <w:lang w:val="fr-FR"/>
        </w:rPr>
        <w:t>’</w:t>
      </w:r>
      <w:r w:rsidRPr="008C2D4D">
        <w:rPr>
          <w:lang w:val="fr-FR"/>
        </w:rPr>
        <w:t>avaient pas le statut de « témoins », et se limitaient à relater des informations, y compris celles atteignant à leurs états d</w:t>
      </w:r>
      <w:r w:rsidR="00DC51BC">
        <w:rPr>
          <w:lang w:val="fr-FR"/>
        </w:rPr>
        <w:t>’</w:t>
      </w:r>
      <w:r w:rsidRPr="008C2D4D">
        <w:rPr>
          <w:lang w:val="fr-FR"/>
        </w:rPr>
        <w:t>âme et/ou à des opinions partagées (</w:t>
      </w:r>
      <w:r w:rsidRPr="008C2D4D">
        <w:rPr>
          <w:i/>
          <w:lang w:val="fr-FR"/>
        </w:rPr>
        <w:t>convincimenti diffusi</w:t>
      </w:r>
      <w:r w:rsidRPr="008C2D4D">
        <w:rPr>
          <w:lang w:val="fr-FR"/>
        </w:rPr>
        <w:t>). Lorsque les décisions ou les activités d</w:t>
      </w:r>
      <w:r w:rsidR="00DC51BC">
        <w:rPr>
          <w:lang w:val="fr-FR"/>
        </w:rPr>
        <w:t>’</w:t>
      </w:r>
      <w:r w:rsidRPr="008C2D4D">
        <w:rPr>
          <w:lang w:val="fr-FR"/>
        </w:rPr>
        <w:t>une commission parlementaire réalisaient une ingérence dans le droit à la défense, garanti par l</w:t>
      </w:r>
      <w:r w:rsidR="00DC51BC">
        <w:rPr>
          <w:lang w:val="fr-FR"/>
        </w:rPr>
        <w:t>’</w:t>
      </w:r>
      <w:r w:rsidRPr="008C2D4D">
        <w:rPr>
          <w:lang w:val="fr-FR"/>
        </w:rPr>
        <w:t>article 24 de la Constitution, il était nécessaire d</w:t>
      </w:r>
      <w:r w:rsidR="00DC51BC">
        <w:rPr>
          <w:lang w:val="fr-FR"/>
        </w:rPr>
        <w:t>’</w:t>
      </w:r>
      <w:r w:rsidRPr="008C2D4D">
        <w:rPr>
          <w:lang w:val="fr-FR"/>
        </w:rPr>
        <w:t xml:space="preserve">établir si ce droit avait simplement subi </w:t>
      </w:r>
      <w:r>
        <w:rPr>
          <w:lang w:val="fr-FR"/>
        </w:rPr>
        <w:t>l</w:t>
      </w:r>
      <w:r w:rsidRPr="008C2D4D">
        <w:rPr>
          <w:lang w:val="fr-FR"/>
        </w:rPr>
        <w:t>es limitations nécessaires à la protection d</w:t>
      </w:r>
      <w:r w:rsidR="00DC51BC">
        <w:rPr>
          <w:lang w:val="fr-FR"/>
        </w:rPr>
        <w:t>’</w:t>
      </w:r>
      <w:r w:rsidRPr="008C2D4D">
        <w:rPr>
          <w:lang w:val="fr-FR"/>
        </w:rPr>
        <w:t>autres intérêts ou bien s</w:t>
      </w:r>
      <w:r w:rsidR="00DC51BC">
        <w:rPr>
          <w:lang w:val="fr-FR"/>
        </w:rPr>
        <w:t>’</w:t>
      </w:r>
      <w:r w:rsidRPr="008C2D4D">
        <w:rPr>
          <w:lang w:val="fr-FR"/>
        </w:rPr>
        <w:t>il avait été comprimé à un point tel que s</w:t>
      </w:r>
      <w:r>
        <w:rPr>
          <w:lang w:val="fr-FR"/>
        </w:rPr>
        <w:t>a</w:t>
      </w:r>
      <w:r w:rsidRPr="008C2D4D">
        <w:rPr>
          <w:lang w:val="fr-FR"/>
        </w:rPr>
        <w:t xml:space="preserve"> </w:t>
      </w:r>
      <w:r>
        <w:rPr>
          <w:lang w:val="fr-FR"/>
        </w:rPr>
        <w:t xml:space="preserve">substance même </w:t>
      </w:r>
      <w:r w:rsidRPr="008C2D4D">
        <w:rPr>
          <w:lang w:val="fr-FR"/>
        </w:rPr>
        <w:t>s</w:t>
      </w:r>
      <w:r w:rsidR="00DC51BC">
        <w:rPr>
          <w:lang w:val="fr-FR"/>
        </w:rPr>
        <w:t>’</w:t>
      </w:r>
      <w:r w:rsidRPr="008C2D4D">
        <w:rPr>
          <w:lang w:val="fr-FR"/>
        </w:rPr>
        <w:t xml:space="preserve">en trouvait </w:t>
      </w:r>
      <w:r>
        <w:rPr>
          <w:lang w:val="fr-FR"/>
        </w:rPr>
        <w:t>atteinte</w:t>
      </w:r>
      <w:r w:rsidRPr="008C2D4D">
        <w:rPr>
          <w:lang w:val="fr-FR"/>
        </w:rPr>
        <w:t>.</w:t>
      </w:r>
    </w:p>
    <w:p w:rsidR="009E78BF" w:rsidRDefault="009E78BF" w:rsidP="00195DFB">
      <w:pPr>
        <w:pStyle w:val="ECHRPara"/>
        <w:rPr>
          <w:lang w:val="fr-FR"/>
        </w:rPr>
      </w:pPr>
      <w:bookmarkStart w:id="4" w:name="sentenzatribRoma3"/>
      <w:r>
        <w:rPr>
          <w:lang w:val="fr-FR"/>
        </w:rPr>
        <w:t>19</w:t>
      </w:r>
      <w:bookmarkEnd w:id="4"/>
      <w:r w:rsidRPr="008C2D4D">
        <w:rPr>
          <w:lang w:val="fr-FR"/>
        </w:rPr>
        <w:t xml:space="preserve">.  Le tribunal </w:t>
      </w:r>
      <w:r>
        <w:rPr>
          <w:lang w:val="fr-FR"/>
        </w:rPr>
        <w:t>nota</w:t>
      </w:r>
      <w:r w:rsidRPr="008C2D4D">
        <w:rPr>
          <w:lang w:val="fr-FR"/>
        </w:rPr>
        <w:t xml:space="preserve"> que </w:t>
      </w:r>
      <w:r>
        <w:rPr>
          <w:lang w:val="fr-FR"/>
        </w:rPr>
        <w:t>la</w:t>
      </w:r>
      <w:r w:rsidRPr="008C2D4D">
        <w:rPr>
          <w:lang w:val="fr-FR"/>
        </w:rPr>
        <w:t xml:space="preserve"> Cour de cassation </w:t>
      </w:r>
      <w:r>
        <w:rPr>
          <w:lang w:val="fr-FR"/>
        </w:rPr>
        <w:t>(voir, notamment, l</w:t>
      </w:r>
      <w:r w:rsidR="00DC51BC">
        <w:rPr>
          <w:lang w:val="fr-FR"/>
        </w:rPr>
        <w:t>’</w:t>
      </w:r>
      <w:r>
        <w:rPr>
          <w:lang w:val="fr-FR"/>
        </w:rPr>
        <w:t xml:space="preserve">arrêt des </w:t>
      </w:r>
      <w:r w:rsidRPr="008C2D4D">
        <w:rPr>
          <w:lang w:val="fr-FR"/>
        </w:rPr>
        <w:t>sections réunies du 12 mars 1983) avait ensuite dit que les intérêts des tiers touchés par les activités d</w:t>
      </w:r>
      <w:r w:rsidR="00DC51BC">
        <w:rPr>
          <w:lang w:val="fr-FR"/>
        </w:rPr>
        <w:t>’</w:t>
      </w:r>
      <w:r w:rsidRPr="008C2D4D">
        <w:rPr>
          <w:lang w:val="fr-FR"/>
        </w:rPr>
        <w:t>une commission parlementaire avaient une dimension juridique (</w:t>
      </w:r>
      <w:r w:rsidRPr="008C2D4D">
        <w:rPr>
          <w:i/>
          <w:lang w:val="fr-FR"/>
        </w:rPr>
        <w:t>rilievo giuridico</w:t>
      </w:r>
      <w:r w:rsidRPr="008C2D4D">
        <w:rPr>
          <w:lang w:val="fr-FR"/>
        </w:rPr>
        <w:t>)</w:t>
      </w:r>
      <w:r>
        <w:rPr>
          <w:lang w:val="fr-FR"/>
        </w:rPr>
        <w:t>.</w:t>
      </w:r>
      <w:r w:rsidRPr="008C2D4D">
        <w:rPr>
          <w:lang w:val="fr-FR"/>
        </w:rPr>
        <w:t xml:space="preserve"> </w:t>
      </w:r>
      <w:r>
        <w:rPr>
          <w:lang w:val="fr-FR"/>
        </w:rPr>
        <w:t>T</w:t>
      </w:r>
      <w:r w:rsidRPr="008C2D4D">
        <w:rPr>
          <w:lang w:val="fr-FR"/>
        </w:rPr>
        <w:t>out contrôle juridictionnel (</w:t>
      </w:r>
      <w:r w:rsidRPr="008C2D4D">
        <w:rPr>
          <w:i/>
          <w:lang w:val="fr-FR"/>
        </w:rPr>
        <w:t>sindacato giurisdizionale</w:t>
      </w:r>
      <w:r w:rsidRPr="008C2D4D">
        <w:rPr>
          <w:lang w:val="fr-FR"/>
        </w:rPr>
        <w:t>) sur les actes desdites commissions restait exclu, mais, en cas d</w:t>
      </w:r>
      <w:r w:rsidR="00DC51BC">
        <w:rPr>
          <w:lang w:val="fr-FR"/>
        </w:rPr>
        <w:t>’</w:t>
      </w:r>
      <w:r w:rsidRPr="008C2D4D">
        <w:rPr>
          <w:lang w:val="fr-FR"/>
        </w:rPr>
        <w:t>illégitimité de ces actes, il était possible de faire valoir la responsabilité, pénale ou civile, des membres des commissions. De l</w:t>
      </w:r>
      <w:r w:rsidR="00DC51BC">
        <w:rPr>
          <w:lang w:val="fr-FR"/>
        </w:rPr>
        <w:t>’</w:t>
      </w:r>
      <w:r w:rsidRPr="008C2D4D">
        <w:rPr>
          <w:lang w:val="fr-FR"/>
        </w:rPr>
        <w:t>avis du tribunal, la Cour de cassation avait ainsi prévu la faculté, pour des tiers, d</w:t>
      </w:r>
      <w:r w:rsidR="00DC51BC">
        <w:rPr>
          <w:lang w:val="fr-FR"/>
        </w:rPr>
        <w:t>’</w:t>
      </w:r>
      <w:r w:rsidRPr="008C2D4D">
        <w:rPr>
          <w:lang w:val="fr-FR"/>
        </w:rPr>
        <w:t>introduire une action en dédommagement. Cette action, cependant, devait porter sur les modalités concrètes, et prétendument illégitimes, de l</w:t>
      </w:r>
      <w:r w:rsidR="00DC51BC">
        <w:rPr>
          <w:lang w:val="fr-FR"/>
        </w:rPr>
        <w:t>’</w:t>
      </w:r>
      <w:r w:rsidRPr="008C2D4D">
        <w:rPr>
          <w:lang w:val="fr-FR"/>
        </w:rPr>
        <w:t>exercice des pouvoirs d</w:t>
      </w:r>
      <w:r w:rsidR="00DC51BC">
        <w:rPr>
          <w:lang w:val="fr-FR"/>
        </w:rPr>
        <w:t>’</w:t>
      </w:r>
      <w:r w:rsidRPr="008C2D4D">
        <w:rPr>
          <w:lang w:val="fr-FR"/>
        </w:rPr>
        <w:t>enquête de la commission parlementaire. En revanche, aucune responsabilité ne pouvait être imputée aux membres de celle-ci pour les votes qu</w:t>
      </w:r>
      <w:r w:rsidR="00DC51BC">
        <w:rPr>
          <w:lang w:val="fr-FR"/>
        </w:rPr>
        <w:t>’</w:t>
      </w:r>
      <w:r w:rsidRPr="008C2D4D">
        <w:rPr>
          <w:lang w:val="fr-FR"/>
        </w:rPr>
        <w:t>ils avaient exprimés</w:t>
      </w:r>
      <w:r>
        <w:rPr>
          <w:lang w:val="fr-FR"/>
        </w:rPr>
        <w:t>. En effet</w:t>
      </w:r>
      <w:r w:rsidRPr="008C2D4D">
        <w:rPr>
          <w:lang w:val="fr-FR"/>
        </w:rPr>
        <w:t>, aux termes de l</w:t>
      </w:r>
      <w:r w:rsidR="00DC51BC">
        <w:rPr>
          <w:lang w:val="fr-FR"/>
        </w:rPr>
        <w:t>’</w:t>
      </w:r>
      <w:r w:rsidRPr="008C2D4D">
        <w:rPr>
          <w:lang w:val="fr-FR"/>
        </w:rPr>
        <w:t xml:space="preserve">article 68 § 1 de la Constitution, </w:t>
      </w:r>
      <w:r>
        <w:rPr>
          <w:lang w:val="fr-FR"/>
        </w:rPr>
        <w:t>l</w:t>
      </w:r>
      <w:r w:rsidRPr="008C2D4D">
        <w:rPr>
          <w:lang w:val="fr-FR"/>
        </w:rPr>
        <w:t xml:space="preserve">es membres du Parlement ne pouvaient </w:t>
      </w:r>
      <w:r>
        <w:rPr>
          <w:lang w:val="fr-FR"/>
        </w:rPr>
        <w:t>« </w:t>
      </w:r>
      <w:r w:rsidRPr="008C2D4D">
        <w:rPr>
          <w:lang w:val="fr-FR"/>
        </w:rPr>
        <w:t>être appelés à répondre des opinions et votes exprimés par eux dans l</w:t>
      </w:r>
      <w:r w:rsidR="00DC51BC">
        <w:rPr>
          <w:lang w:val="fr-FR"/>
        </w:rPr>
        <w:t>’</w:t>
      </w:r>
      <w:r w:rsidRPr="008C2D4D">
        <w:rPr>
          <w:lang w:val="fr-FR"/>
        </w:rPr>
        <w:t>exercice de leurs fonctions ».</w:t>
      </w:r>
    </w:p>
    <w:p w:rsidR="009E78BF" w:rsidRPr="008C2D4D" w:rsidRDefault="009E78BF" w:rsidP="00195DFB">
      <w:pPr>
        <w:pStyle w:val="ECHRPara"/>
        <w:rPr>
          <w:lang w:val="fr-FR"/>
        </w:rPr>
      </w:pPr>
      <w:bookmarkStart w:id="5" w:name="sentenzatribRoma4"/>
      <w:r>
        <w:rPr>
          <w:lang w:val="fr-FR"/>
        </w:rPr>
        <w:t>20</w:t>
      </w:r>
      <w:bookmarkEnd w:id="5"/>
      <w:r w:rsidRPr="008C2D4D">
        <w:rPr>
          <w:lang w:val="fr-FR"/>
        </w:rPr>
        <w:t>.  Il s</w:t>
      </w:r>
      <w:r w:rsidR="00DC51BC">
        <w:rPr>
          <w:lang w:val="fr-FR"/>
        </w:rPr>
        <w:t>’</w:t>
      </w:r>
      <w:r w:rsidRPr="008C2D4D">
        <w:rPr>
          <w:lang w:val="fr-FR"/>
        </w:rPr>
        <w:t>ensuivait qu</w:t>
      </w:r>
      <w:r w:rsidR="00DC51BC">
        <w:rPr>
          <w:lang w:val="fr-FR"/>
        </w:rPr>
        <w:t>’</w:t>
      </w:r>
      <w:r w:rsidRPr="008C2D4D">
        <w:rPr>
          <w:lang w:val="fr-FR"/>
        </w:rPr>
        <w:t>il n</w:t>
      </w:r>
      <w:r w:rsidR="00DC51BC">
        <w:rPr>
          <w:lang w:val="fr-FR"/>
        </w:rPr>
        <w:t>’</w:t>
      </w:r>
      <w:r w:rsidRPr="008C2D4D">
        <w:rPr>
          <w:lang w:val="fr-FR"/>
        </w:rPr>
        <w:t>était pas loisible au requérant de demander un dédommagement à cause du contenu du rapport de la commission parlementaire, qui ne pouvait pas être censuré par les juridictions judiciaires. Les délibérations qui avaient conduit à l</w:t>
      </w:r>
      <w:r w:rsidR="00DC51BC">
        <w:rPr>
          <w:lang w:val="fr-FR"/>
        </w:rPr>
        <w:t>’</w:t>
      </w:r>
      <w:r w:rsidRPr="008C2D4D">
        <w:rPr>
          <w:lang w:val="fr-FR"/>
        </w:rPr>
        <w:t>adoption de ce document étaient en effet prévues par les règlements parlementaires et faisaient partie de l</w:t>
      </w:r>
      <w:r w:rsidR="00DC51BC">
        <w:rPr>
          <w:lang w:val="fr-FR"/>
        </w:rPr>
        <w:t>’</w:t>
      </w:r>
      <w:r w:rsidRPr="008C2D4D">
        <w:rPr>
          <w:lang w:val="fr-FR"/>
        </w:rPr>
        <w:t>un</w:t>
      </w:r>
      <w:r>
        <w:rPr>
          <w:lang w:val="fr-FR"/>
        </w:rPr>
        <w:t>e</w:t>
      </w:r>
      <w:r w:rsidRPr="008C2D4D">
        <w:rPr>
          <w:lang w:val="fr-FR"/>
        </w:rPr>
        <w:t xml:space="preserve"> des activités typiques des députés et des sénateurs.</w:t>
      </w:r>
      <w:r w:rsidR="004C6DC7">
        <w:rPr>
          <w:lang w:val="fr-FR"/>
        </w:rPr>
        <w:t xml:space="preserve"> </w:t>
      </w:r>
      <w:r w:rsidRPr="008C2D4D">
        <w:rPr>
          <w:lang w:val="fr-FR"/>
        </w:rPr>
        <w:lastRenderedPageBreak/>
        <w:t>Le tribunal ajouta que cette interprétation était confirmée par l</w:t>
      </w:r>
      <w:r w:rsidR="00DC51BC">
        <w:rPr>
          <w:lang w:val="fr-FR"/>
        </w:rPr>
        <w:t>’</w:t>
      </w:r>
      <w:r w:rsidRPr="008C2D4D">
        <w:rPr>
          <w:lang w:val="fr-FR"/>
        </w:rPr>
        <w:t>arrêt de la Cour constitutionnelle n</w:t>
      </w:r>
      <w:r w:rsidRPr="009E78BF">
        <w:rPr>
          <w:vertAlign w:val="superscript"/>
          <w:lang w:val="fr-FR"/>
        </w:rPr>
        <w:t>o</w:t>
      </w:r>
      <w:r w:rsidRPr="008C2D4D">
        <w:rPr>
          <w:lang w:val="fr-FR"/>
        </w:rPr>
        <w:t xml:space="preserve"> 379 de 1996, dont il cita des longs extraits.</w:t>
      </w:r>
    </w:p>
    <w:p w:rsidR="009E78BF" w:rsidRPr="008C2D4D" w:rsidRDefault="009E78BF" w:rsidP="00195DFB">
      <w:pPr>
        <w:pStyle w:val="ECHRPara"/>
        <w:rPr>
          <w:lang w:val="fr-FR"/>
        </w:rPr>
      </w:pPr>
      <w:bookmarkStart w:id="6" w:name="sentenzatribRoma5"/>
      <w:r>
        <w:rPr>
          <w:lang w:val="fr-FR"/>
        </w:rPr>
        <w:t>21</w:t>
      </w:r>
      <w:bookmarkEnd w:id="6"/>
      <w:r w:rsidRPr="008C2D4D">
        <w:rPr>
          <w:lang w:val="fr-FR"/>
        </w:rPr>
        <w:t>.  </w:t>
      </w:r>
      <w:r>
        <w:rPr>
          <w:lang w:val="fr-FR"/>
        </w:rPr>
        <w:t>L</w:t>
      </w:r>
      <w:r w:rsidRPr="008C2D4D">
        <w:rPr>
          <w:lang w:val="fr-FR"/>
        </w:rPr>
        <w:t>e tribunal estima</w:t>
      </w:r>
      <w:r>
        <w:rPr>
          <w:lang w:val="fr-FR"/>
        </w:rPr>
        <w:t xml:space="preserve"> également</w:t>
      </w:r>
      <w:r w:rsidRPr="008C2D4D">
        <w:rPr>
          <w:lang w:val="fr-FR"/>
        </w:rPr>
        <w:t xml:space="preserve"> qu</w:t>
      </w:r>
      <w:r w:rsidR="00DC51BC">
        <w:rPr>
          <w:lang w:val="fr-FR"/>
        </w:rPr>
        <w:t>’</w:t>
      </w:r>
      <w:r w:rsidRPr="008C2D4D">
        <w:rPr>
          <w:lang w:val="fr-FR"/>
        </w:rPr>
        <w:t>il n</w:t>
      </w:r>
      <w:r w:rsidR="00DC51BC">
        <w:rPr>
          <w:lang w:val="fr-FR"/>
        </w:rPr>
        <w:t>’</w:t>
      </w:r>
      <w:r w:rsidRPr="008C2D4D">
        <w:rPr>
          <w:lang w:val="fr-FR"/>
        </w:rPr>
        <w:t>était pas compétent à se prononcer sur l</w:t>
      </w:r>
      <w:r w:rsidR="00DC51BC">
        <w:rPr>
          <w:lang w:val="fr-FR"/>
        </w:rPr>
        <w:t>’</w:t>
      </w:r>
      <w:r w:rsidRPr="008C2D4D">
        <w:rPr>
          <w:lang w:val="fr-FR"/>
        </w:rPr>
        <w:t>éventuelle divulgation du contenu d</w:t>
      </w:r>
      <w:r w:rsidR="00DC51BC">
        <w:rPr>
          <w:lang w:val="fr-FR"/>
        </w:rPr>
        <w:t>’</w:t>
      </w:r>
      <w:r w:rsidRPr="008C2D4D">
        <w:rPr>
          <w:lang w:val="fr-FR"/>
        </w:rPr>
        <w:t xml:space="preserve">une séance à huis clos, la décision de déroger à la règle de la publicité des séances parlementaires étant de nature politique. Les articles parus sur le journal </w:t>
      </w:r>
      <w:r w:rsidRPr="008C2D4D">
        <w:rPr>
          <w:i/>
          <w:lang w:val="fr-FR"/>
        </w:rPr>
        <w:t xml:space="preserve">Calabria Ora </w:t>
      </w:r>
      <w:r w:rsidRPr="008C2D4D">
        <w:rPr>
          <w:lang w:val="fr-FR"/>
        </w:rPr>
        <w:t>n</w:t>
      </w:r>
      <w:r w:rsidR="00DC51BC">
        <w:rPr>
          <w:lang w:val="fr-FR"/>
        </w:rPr>
        <w:t>’</w:t>
      </w:r>
      <w:r w:rsidRPr="008C2D4D">
        <w:rPr>
          <w:lang w:val="fr-FR"/>
        </w:rPr>
        <w:t>étaient qu</w:t>
      </w:r>
      <w:r w:rsidR="00DC51BC">
        <w:rPr>
          <w:lang w:val="fr-FR"/>
        </w:rPr>
        <w:t>’</w:t>
      </w:r>
      <w:r w:rsidRPr="008C2D4D">
        <w:rPr>
          <w:lang w:val="fr-FR"/>
        </w:rPr>
        <w:t>une manifestation du droit de chronique : ils se bornaient à relater le déroulement d</w:t>
      </w:r>
      <w:r w:rsidR="00DC51BC">
        <w:rPr>
          <w:lang w:val="fr-FR"/>
        </w:rPr>
        <w:t>’</w:t>
      </w:r>
      <w:r w:rsidRPr="008C2D4D">
        <w:rPr>
          <w:lang w:val="fr-FR"/>
        </w:rPr>
        <w:t>une séance et une partie du rapport de la commission parlementaire</w:t>
      </w:r>
      <w:r>
        <w:rPr>
          <w:lang w:val="fr-FR"/>
        </w:rPr>
        <w:t>. Ces articles</w:t>
      </w:r>
      <w:r w:rsidRPr="008C2D4D">
        <w:rPr>
          <w:lang w:val="fr-FR"/>
        </w:rPr>
        <w:t xml:space="preserve"> précisaient</w:t>
      </w:r>
      <w:r>
        <w:rPr>
          <w:lang w:val="fr-FR"/>
        </w:rPr>
        <w:t xml:space="preserve"> en outre</w:t>
      </w:r>
      <w:r w:rsidRPr="008C2D4D">
        <w:rPr>
          <w:lang w:val="fr-FR"/>
        </w:rPr>
        <w:t xml:space="preserve"> qu</w:t>
      </w:r>
      <w:r w:rsidR="00DC51BC">
        <w:rPr>
          <w:lang w:val="fr-FR"/>
        </w:rPr>
        <w:t>’</w:t>
      </w:r>
      <w:r w:rsidRPr="008C2D4D">
        <w:rPr>
          <w:lang w:val="fr-FR"/>
        </w:rPr>
        <w:t>il s</w:t>
      </w:r>
      <w:r w:rsidR="00DC51BC">
        <w:rPr>
          <w:lang w:val="fr-FR"/>
        </w:rPr>
        <w:t>’</w:t>
      </w:r>
      <w:r w:rsidRPr="008C2D4D">
        <w:rPr>
          <w:lang w:val="fr-FR"/>
        </w:rPr>
        <w:t>agissait d</w:t>
      </w:r>
      <w:r w:rsidR="00DC51BC">
        <w:rPr>
          <w:lang w:val="fr-FR"/>
        </w:rPr>
        <w:t>’</w:t>
      </w:r>
      <w:r w:rsidRPr="008C2D4D">
        <w:rPr>
          <w:lang w:val="fr-FR"/>
        </w:rPr>
        <w:t>« hypothèses nécessitant une vérification » (</w:t>
      </w:r>
      <w:r w:rsidRPr="008C2D4D">
        <w:rPr>
          <w:i/>
          <w:lang w:val="fr-FR"/>
        </w:rPr>
        <w:t>ipotesi tutte da verificare</w:t>
      </w:r>
      <w:r w:rsidRPr="008C2D4D">
        <w:rPr>
          <w:lang w:val="fr-FR"/>
        </w:rPr>
        <w:t>),</w:t>
      </w:r>
      <w:r>
        <w:rPr>
          <w:lang w:val="fr-FR"/>
        </w:rPr>
        <w:t xml:space="preserve"> et</w:t>
      </w:r>
      <w:r w:rsidRPr="008C2D4D">
        <w:rPr>
          <w:lang w:val="fr-FR"/>
        </w:rPr>
        <w:t xml:space="preserve"> il y avait sans doute un intérêt public à la diffusion des informations en question.</w:t>
      </w:r>
    </w:p>
    <w:p w:rsidR="009E78BF" w:rsidRPr="008C2D4D" w:rsidRDefault="009E78BF" w:rsidP="00195DFB">
      <w:pPr>
        <w:pStyle w:val="ECHRPara"/>
        <w:rPr>
          <w:lang w:val="fr-FR"/>
        </w:rPr>
      </w:pPr>
      <w:bookmarkStart w:id="7" w:name="sentenzatribRomafine"/>
      <w:r>
        <w:rPr>
          <w:lang w:val="fr-FR"/>
        </w:rPr>
        <w:t>22</w:t>
      </w:r>
      <w:bookmarkEnd w:id="7"/>
      <w:r w:rsidRPr="008C2D4D">
        <w:rPr>
          <w:lang w:val="fr-FR"/>
        </w:rPr>
        <w:t>.  </w:t>
      </w:r>
      <w:r>
        <w:rPr>
          <w:lang w:val="fr-FR"/>
        </w:rPr>
        <w:t>Le tribunal nota enfin que l</w:t>
      </w:r>
      <w:r w:rsidR="00DC51BC">
        <w:rPr>
          <w:lang w:val="fr-FR"/>
        </w:rPr>
        <w:t>’</w:t>
      </w:r>
      <w:r>
        <w:rPr>
          <w:lang w:val="fr-FR"/>
        </w:rPr>
        <w:t xml:space="preserve">audition par une commission parlementaire </w:t>
      </w:r>
      <w:r w:rsidRPr="008C2D4D">
        <w:rPr>
          <w:lang w:val="fr-FR"/>
        </w:rPr>
        <w:t>ne faisait pas partie des activités administratives d</w:t>
      </w:r>
      <w:r w:rsidR="00DC51BC">
        <w:rPr>
          <w:lang w:val="fr-FR"/>
        </w:rPr>
        <w:t>’</w:t>
      </w:r>
      <w:r w:rsidRPr="008C2D4D">
        <w:rPr>
          <w:lang w:val="fr-FR"/>
        </w:rPr>
        <w:t>un magistrat. Dès lors, le minist</w:t>
      </w:r>
      <w:r>
        <w:rPr>
          <w:lang w:val="fr-FR"/>
        </w:rPr>
        <w:t>ère</w:t>
      </w:r>
      <w:r w:rsidRPr="008C2D4D">
        <w:rPr>
          <w:lang w:val="fr-FR"/>
        </w:rPr>
        <w:t xml:space="preserve"> de la Justice n</w:t>
      </w:r>
      <w:r w:rsidR="00DC51BC">
        <w:rPr>
          <w:lang w:val="fr-FR"/>
        </w:rPr>
        <w:t>’</w:t>
      </w:r>
      <w:r w:rsidRPr="008C2D4D">
        <w:rPr>
          <w:lang w:val="fr-FR"/>
        </w:rPr>
        <w:t>était pas responsable des déclarations faites par L. devant la commission parlementaire. S</w:t>
      </w:r>
      <w:r w:rsidR="00DC51BC">
        <w:rPr>
          <w:lang w:val="fr-FR"/>
        </w:rPr>
        <w:t>’</w:t>
      </w:r>
      <w:r w:rsidRPr="008C2D4D">
        <w:rPr>
          <w:lang w:val="fr-FR"/>
        </w:rPr>
        <w:t xml:space="preserve">il estimait </w:t>
      </w:r>
      <w:r>
        <w:rPr>
          <w:lang w:val="fr-FR"/>
        </w:rPr>
        <w:t>que</w:t>
      </w:r>
      <w:r w:rsidRPr="008C2D4D">
        <w:rPr>
          <w:lang w:val="fr-FR"/>
        </w:rPr>
        <w:t xml:space="preserve"> L. avait commis des actes illégitimes, le requérant </w:t>
      </w:r>
      <w:r>
        <w:rPr>
          <w:lang w:val="fr-FR"/>
        </w:rPr>
        <w:t>devait</w:t>
      </w:r>
      <w:r w:rsidRPr="008C2D4D">
        <w:rPr>
          <w:lang w:val="fr-FR"/>
        </w:rPr>
        <w:t xml:space="preserve"> entamer une action directement contre le magistrat concerné.</w:t>
      </w:r>
    </w:p>
    <w:p w:rsidR="009E78BF" w:rsidRPr="008C2D4D" w:rsidRDefault="009E78BF" w:rsidP="00195DFB">
      <w:pPr>
        <w:pStyle w:val="ECHRPara"/>
        <w:rPr>
          <w:lang w:val="fr-FR"/>
        </w:rPr>
      </w:pPr>
      <w:bookmarkStart w:id="8" w:name="appelloricorrente"/>
      <w:r>
        <w:rPr>
          <w:lang w:val="fr-FR"/>
        </w:rPr>
        <w:t>23</w:t>
      </w:r>
      <w:bookmarkEnd w:id="8"/>
      <w:r w:rsidRPr="008C2D4D">
        <w:rPr>
          <w:lang w:val="fr-FR"/>
        </w:rPr>
        <w:t>.  Le requérant interjeta appel du jugement du 5 novembre 2012. Selon les informations fournies par le Gouvernement le 13 janvier 2016, l</w:t>
      </w:r>
      <w:r w:rsidR="00DC51BC">
        <w:rPr>
          <w:lang w:val="fr-FR"/>
        </w:rPr>
        <w:t>’</w:t>
      </w:r>
      <w:r w:rsidRPr="008C2D4D">
        <w:rPr>
          <w:lang w:val="fr-FR"/>
        </w:rPr>
        <w:t>audience devant la cour d</w:t>
      </w:r>
      <w:r w:rsidR="00DC51BC">
        <w:rPr>
          <w:lang w:val="fr-FR"/>
        </w:rPr>
        <w:t>’</w:t>
      </w:r>
      <w:r w:rsidRPr="008C2D4D">
        <w:rPr>
          <w:lang w:val="fr-FR"/>
        </w:rPr>
        <w:t>appel de Rome fut fixée au 13 novembre 2016.</w:t>
      </w:r>
    </w:p>
    <w:p w:rsidR="009E78BF" w:rsidRPr="008C2D4D" w:rsidRDefault="009E78BF" w:rsidP="00195DFB">
      <w:pPr>
        <w:pStyle w:val="ECHRHeading2"/>
        <w:outlineLvl w:val="0"/>
        <w:rPr>
          <w:lang w:val="fr-FR"/>
        </w:rPr>
      </w:pPr>
      <w:r w:rsidRPr="008C2D4D">
        <w:rPr>
          <w:lang w:val="fr-FR"/>
        </w:rPr>
        <w:t>B.  Le droit interne pertinent</w:t>
      </w:r>
    </w:p>
    <w:p w:rsidR="009E78BF" w:rsidRPr="008C2D4D" w:rsidRDefault="009E78BF" w:rsidP="00195DFB">
      <w:pPr>
        <w:pStyle w:val="ECHRPara"/>
        <w:rPr>
          <w:lang w:val="fr-FR"/>
        </w:rPr>
      </w:pPr>
      <w:r>
        <w:rPr>
          <w:lang w:val="fr-FR"/>
        </w:rPr>
        <w:t>24</w:t>
      </w:r>
      <w:r w:rsidRPr="008C2D4D">
        <w:rPr>
          <w:lang w:val="fr-FR"/>
        </w:rPr>
        <w:t>.  Aux termes de l</w:t>
      </w:r>
      <w:r w:rsidR="00DC51BC">
        <w:rPr>
          <w:lang w:val="fr-FR"/>
        </w:rPr>
        <w:t>’</w:t>
      </w:r>
      <w:r w:rsidRPr="008C2D4D">
        <w:rPr>
          <w:lang w:val="fr-FR"/>
        </w:rPr>
        <w:t>article 82 de la Constitution,</w:t>
      </w:r>
    </w:p>
    <w:p w:rsidR="009E78BF" w:rsidRPr="008C2D4D" w:rsidRDefault="009E78BF" w:rsidP="00195DFB">
      <w:pPr>
        <w:pStyle w:val="ECHRParaQuote"/>
        <w:rPr>
          <w:lang w:val="fr-FR"/>
        </w:rPr>
      </w:pPr>
      <w:r w:rsidRPr="008C2D4D">
        <w:rPr>
          <w:lang w:val="fr-FR"/>
        </w:rPr>
        <w:t>« Chaque chambre [législative] peut ordonner d</w:t>
      </w:r>
      <w:r>
        <w:rPr>
          <w:lang w:val="fr-FR"/>
        </w:rPr>
        <w:t xml:space="preserve">es </w:t>
      </w:r>
      <w:r w:rsidRPr="008C2D4D">
        <w:rPr>
          <w:lang w:val="fr-FR"/>
        </w:rPr>
        <w:t>enquêtes sur des questions d</w:t>
      </w:r>
      <w:r w:rsidR="00DC51BC">
        <w:rPr>
          <w:lang w:val="fr-FR"/>
        </w:rPr>
        <w:t>’</w:t>
      </w:r>
      <w:r w:rsidRPr="008C2D4D">
        <w:rPr>
          <w:lang w:val="fr-FR"/>
        </w:rPr>
        <w:t>intérêt public.</w:t>
      </w:r>
    </w:p>
    <w:p w:rsidR="009E78BF" w:rsidRPr="008C2D4D" w:rsidRDefault="009E78BF" w:rsidP="00195DFB">
      <w:pPr>
        <w:pStyle w:val="ECHRParaQuote"/>
        <w:rPr>
          <w:lang w:val="fr-FR"/>
        </w:rPr>
      </w:pPr>
      <w:r w:rsidRPr="008C2D4D">
        <w:rPr>
          <w:lang w:val="fr-FR"/>
        </w:rPr>
        <w:t>À ce</w:t>
      </w:r>
      <w:r>
        <w:rPr>
          <w:lang w:val="fr-FR"/>
        </w:rPr>
        <w:t>tte</w:t>
      </w:r>
      <w:r w:rsidRPr="008C2D4D">
        <w:rPr>
          <w:lang w:val="fr-FR"/>
        </w:rPr>
        <w:t xml:space="preserve"> fin, elle nomme </w:t>
      </w:r>
      <w:r>
        <w:rPr>
          <w:lang w:val="fr-FR"/>
        </w:rPr>
        <w:t xml:space="preserve">parmi ses membres </w:t>
      </w:r>
      <w:r w:rsidRPr="008C2D4D">
        <w:rPr>
          <w:lang w:val="fr-FR"/>
        </w:rPr>
        <w:t>une commission formée de manière à respecter la proportionnalité entre les différents groupes [parlementaires]. La commission d</w:t>
      </w:r>
      <w:r w:rsidR="00DC51BC">
        <w:rPr>
          <w:lang w:val="fr-FR"/>
        </w:rPr>
        <w:t>’</w:t>
      </w:r>
      <w:r w:rsidRPr="008C2D4D">
        <w:rPr>
          <w:lang w:val="fr-FR"/>
        </w:rPr>
        <w:t xml:space="preserve">enquête mène les investigations et les </w:t>
      </w:r>
      <w:r>
        <w:rPr>
          <w:lang w:val="fr-FR"/>
        </w:rPr>
        <w:t>examens</w:t>
      </w:r>
      <w:r w:rsidRPr="008C2D4D">
        <w:rPr>
          <w:lang w:val="fr-FR"/>
        </w:rPr>
        <w:t xml:space="preserve"> avec les mêmes pouvoirs et les mêmes limites de </w:t>
      </w:r>
      <w:r>
        <w:rPr>
          <w:lang w:val="fr-FR"/>
        </w:rPr>
        <w:t>l</w:t>
      </w:r>
      <w:r w:rsidR="00DC51BC">
        <w:rPr>
          <w:lang w:val="fr-FR"/>
        </w:rPr>
        <w:t>’</w:t>
      </w:r>
      <w:r w:rsidRPr="008C2D4D">
        <w:rPr>
          <w:lang w:val="fr-FR"/>
        </w:rPr>
        <w:t>autorité judiciaire</w:t>
      </w:r>
      <w:r>
        <w:rPr>
          <w:lang w:val="fr-FR"/>
        </w:rPr>
        <w:t>.</w:t>
      </w:r>
      <w:r w:rsidRPr="008C2D4D">
        <w:rPr>
          <w:lang w:val="fr-FR"/>
        </w:rPr>
        <w:t> »</w:t>
      </w:r>
    </w:p>
    <w:p w:rsidR="009E78BF" w:rsidRPr="008C2D4D" w:rsidRDefault="009E78BF" w:rsidP="00195DFB">
      <w:pPr>
        <w:pStyle w:val="ECHRTitle1"/>
        <w:rPr>
          <w:lang w:val="fr-FR"/>
        </w:rPr>
      </w:pPr>
      <w:r w:rsidRPr="008C2D4D">
        <w:rPr>
          <w:lang w:val="fr-FR"/>
        </w:rPr>
        <w:t>GRIEF</w:t>
      </w:r>
    </w:p>
    <w:p w:rsidR="009E78BF" w:rsidRPr="008C2D4D" w:rsidRDefault="009E78BF" w:rsidP="00195DFB">
      <w:pPr>
        <w:pStyle w:val="ECHRPara"/>
        <w:rPr>
          <w:lang w:val="fr-FR"/>
        </w:rPr>
      </w:pPr>
      <w:r>
        <w:rPr>
          <w:lang w:val="fr-FR"/>
        </w:rPr>
        <w:t>25.  </w:t>
      </w:r>
      <w:r w:rsidRPr="008C2D4D">
        <w:rPr>
          <w:lang w:val="fr-FR"/>
        </w:rPr>
        <w:t>Invoquant l</w:t>
      </w:r>
      <w:r w:rsidR="00DC51BC">
        <w:rPr>
          <w:lang w:val="fr-FR"/>
        </w:rPr>
        <w:t>’</w:t>
      </w:r>
      <w:r w:rsidRPr="008C2D4D">
        <w:rPr>
          <w:lang w:val="fr-FR"/>
        </w:rPr>
        <w:t xml:space="preserve">article 8 de la Convention, le requérant se plaint de la divulgation </w:t>
      </w:r>
      <w:r>
        <w:rPr>
          <w:lang w:val="fr-FR"/>
        </w:rPr>
        <w:t>d</w:t>
      </w:r>
      <w:r w:rsidR="00DC51BC">
        <w:rPr>
          <w:lang w:val="fr-FR"/>
        </w:rPr>
        <w:t>’</w:t>
      </w:r>
      <w:r>
        <w:rPr>
          <w:lang w:val="fr-FR"/>
        </w:rPr>
        <w:t>informations le concernant</w:t>
      </w:r>
      <w:r w:rsidRPr="008C2D4D">
        <w:rPr>
          <w:lang w:val="fr-FR"/>
        </w:rPr>
        <w:t>.</w:t>
      </w:r>
    </w:p>
    <w:p w:rsidR="009E78BF" w:rsidRPr="008C2D4D" w:rsidRDefault="009E78BF" w:rsidP="00195DFB">
      <w:pPr>
        <w:pStyle w:val="ECHRTitle1"/>
        <w:rPr>
          <w:lang w:val="fr-FR"/>
        </w:rPr>
      </w:pPr>
      <w:r w:rsidRPr="008C2D4D">
        <w:rPr>
          <w:lang w:val="fr-FR"/>
        </w:rPr>
        <w:t>EN DROIT</w:t>
      </w:r>
    </w:p>
    <w:p w:rsidR="009E78BF" w:rsidRPr="008C2D4D" w:rsidRDefault="009E78BF" w:rsidP="00195DFB">
      <w:pPr>
        <w:pStyle w:val="ECHRPara"/>
        <w:rPr>
          <w:lang w:val="fr-FR"/>
        </w:rPr>
      </w:pPr>
      <w:bookmarkStart w:id="9" w:name="griefrequerant"/>
      <w:r>
        <w:rPr>
          <w:lang w:val="fr-FR"/>
        </w:rPr>
        <w:t>26</w:t>
      </w:r>
      <w:bookmarkEnd w:id="9"/>
      <w:r w:rsidRPr="008C2D4D">
        <w:rPr>
          <w:lang w:val="fr-FR"/>
        </w:rPr>
        <w:t>.  Le requérant considère que la divulgation d</w:t>
      </w:r>
      <w:r>
        <w:rPr>
          <w:lang w:val="fr-FR"/>
        </w:rPr>
        <w:t>u contenu des</w:t>
      </w:r>
      <w:r w:rsidRPr="008C2D4D">
        <w:rPr>
          <w:lang w:val="fr-FR"/>
        </w:rPr>
        <w:t xml:space="preserve"> compte</w:t>
      </w:r>
      <w:r>
        <w:rPr>
          <w:lang w:val="fr-FR"/>
        </w:rPr>
        <w:t>s</w:t>
      </w:r>
      <w:r w:rsidRPr="008C2D4D">
        <w:rPr>
          <w:lang w:val="fr-FR"/>
        </w:rPr>
        <w:t xml:space="preserve"> rendus des séances de la </w:t>
      </w:r>
      <w:r w:rsidRPr="005A5BD9">
        <w:rPr>
          <w:lang w:val="fr-FR"/>
        </w:rPr>
        <w:t>commission parlementaire</w:t>
      </w:r>
      <w:r w:rsidRPr="008C2D4D">
        <w:rPr>
          <w:lang w:val="fr-FR"/>
        </w:rPr>
        <w:t xml:space="preserve"> des 4 décembre 2007 et </w:t>
      </w:r>
      <w:r w:rsidRPr="008C2D4D">
        <w:rPr>
          <w:lang w:val="fr-FR"/>
        </w:rPr>
        <w:lastRenderedPageBreak/>
        <w:t>5 février 2008 a violé son droit au respect de sa vie privée et familiale, tel que garanti par l</w:t>
      </w:r>
      <w:r w:rsidR="00DC51BC">
        <w:rPr>
          <w:lang w:val="fr-FR"/>
        </w:rPr>
        <w:t>’</w:t>
      </w:r>
      <w:r w:rsidRPr="008C2D4D">
        <w:rPr>
          <w:lang w:val="fr-FR"/>
        </w:rPr>
        <w:t>article 8 de la Convention.</w:t>
      </w:r>
    </w:p>
    <w:p w:rsidR="009E78BF" w:rsidRPr="008C2D4D" w:rsidRDefault="009E78BF" w:rsidP="00195DFB">
      <w:pPr>
        <w:pStyle w:val="ECHRPara"/>
        <w:rPr>
          <w:lang w:val="fr-FR"/>
        </w:rPr>
      </w:pPr>
      <w:r w:rsidRPr="008C2D4D">
        <w:rPr>
          <w:lang w:val="fr-FR"/>
        </w:rPr>
        <w:t>Cette disposition se lit comme suit :</w:t>
      </w:r>
    </w:p>
    <w:p w:rsidR="009E78BF" w:rsidRPr="008C2D4D" w:rsidRDefault="009E78BF" w:rsidP="00195DFB">
      <w:pPr>
        <w:pStyle w:val="ECHRParaQuote"/>
        <w:rPr>
          <w:lang w:val="fr-FR"/>
        </w:rPr>
      </w:pPr>
      <w:r w:rsidRPr="008C2D4D">
        <w:rPr>
          <w:lang w:val="fr-FR"/>
        </w:rPr>
        <w:t>« 1.  Toute personne a droit au respect de sa vie privée et familiale, de son domicile et de sa correspondance.</w:t>
      </w:r>
    </w:p>
    <w:p w:rsidR="009E78BF" w:rsidRDefault="009E78BF" w:rsidP="00195DFB">
      <w:pPr>
        <w:pStyle w:val="ECHRParaQuote"/>
        <w:rPr>
          <w:lang w:val="fr-FR"/>
        </w:rPr>
      </w:pPr>
      <w:r w:rsidRPr="008C2D4D">
        <w:rPr>
          <w:lang w:val="fr-FR"/>
        </w:rPr>
        <w:t>2.  Il ne peut y avoir ingérence d</w:t>
      </w:r>
      <w:r w:rsidR="00DC51BC">
        <w:rPr>
          <w:lang w:val="fr-FR"/>
        </w:rPr>
        <w:t>’</w:t>
      </w:r>
      <w:r w:rsidRPr="008C2D4D">
        <w:rPr>
          <w:lang w:val="fr-FR"/>
        </w:rPr>
        <w:t>une autorité publique dans l</w:t>
      </w:r>
      <w:r w:rsidR="00DC51BC">
        <w:rPr>
          <w:lang w:val="fr-FR"/>
        </w:rPr>
        <w:t>’</w:t>
      </w:r>
      <w:r w:rsidRPr="008C2D4D">
        <w:rPr>
          <w:lang w:val="fr-FR"/>
        </w:rPr>
        <w:t>exercice de ce droit que pour autant que cette ingérence est prévue par la loi et qu</w:t>
      </w:r>
      <w:r w:rsidR="00DC51BC">
        <w:rPr>
          <w:lang w:val="fr-FR"/>
        </w:rPr>
        <w:t>’</w:t>
      </w:r>
      <w:r w:rsidRPr="008C2D4D">
        <w:rPr>
          <w:lang w:val="fr-FR"/>
        </w:rPr>
        <w:t>elle constitue une mesure qui, dans une société démocratique, est nécessaire à la sécurité nationale, à la sûreté publique, au bien</w:t>
      </w:r>
      <w:r w:rsidRPr="008C2D4D">
        <w:rPr>
          <w:lang w:val="fr-FR"/>
        </w:rPr>
        <w:noBreakHyphen/>
        <w:t>être économique du pays, à la défense de l</w:t>
      </w:r>
      <w:r w:rsidR="00DC51BC">
        <w:rPr>
          <w:lang w:val="fr-FR"/>
        </w:rPr>
        <w:t>’</w:t>
      </w:r>
      <w:r w:rsidRPr="008C2D4D">
        <w:rPr>
          <w:lang w:val="fr-FR"/>
        </w:rPr>
        <w:t>ordre et à la prévention des infractions pénales, à la protection de la santé ou de la morale, ou à la protection des droits et libertés d</w:t>
      </w:r>
      <w:r w:rsidR="00DC51BC">
        <w:rPr>
          <w:lang w:val="fr-FR"/>
        </w:rPr>
        <w:t>’</w:t>
      </w:r>
      <w:r w:rsidRPr="008C2D4D">
        <w:rPr>
          <w:lang w:val="fr-FR"/>
        </w:rPr>
        <w:t>autrui. »</w:t>
      </w:r>
    </w:p>
    <w:p w:rsidR="009E78BF" w:rsidRPr="008C2D4D" w:rsidRDefault="009E78BF" w:rsidP="00195DFB">
      <w:pPr>
        <w:pStyle w:val="JuParaLast"/>
        <w:rPr>
          <w:lang w:val="fr-FR"/>
        </w:rPr>
      </w:pPr>
      <w:r>
        <w:rPr>
          <w:lang w:val="fr-FR"/>
        </w:rPr>
        <w:t>27</w:t>
      </w:r>
      <w:r w:rsidRPr="008C2D4D">
        <w:rPr>
          <w:lang w:val="fr-FR"/>
        </w:rPr>
        <w:t>.  Le Gouvernement s</w:t>
      </w:r>
      <w:r w:rsidR="00DC51BC">
        <w:rPr>
          <w:lang w:val="fr-FR"/>
        </w:rPr>
        <w:t>’</w:t>
      </w:r>
      <w:r w:rsidRPr="008C2D4D">
        <w:rPr>
          <w:lang w:val="fr-FR"/>
        </w:rPr>
        <w:t>oppose à cette thèse</w:t>
      </w:r>
      <w:r>
        <w:rPr>
          <w:lang w:val="fr-FR"/>
        </w:rPr>
        <w:t xml:space="preserve"> et</w:t>
      </w:r>
      <w:r w:rsidRPr="008C2D4D">
        <w:rPr>
          <w:lang w:val="fr-FR"/>
        </w:rPr>
        <w:t xml:space="preserve"> excipe du non-épuisement des voies de recours internes. Il observe que le requérant a interjeté appel contre le jugement du tribunal de Rome du 13 novembre 2012 (paragraphes </w:t>
      </w:r>
      <w:r>
        <w:rPr>
          <w:lang w:val="fr-FR"/>
        </w:rPr>
        <w:t>17</w:t>
      </w:r>
      <w:r w:rsidRPr="008C2D4D">
        <w:rPr>
          <w:lang w:val="fr-FR"/>
        </w:rPr>
        <w:t>-</w:t>
      </w:r>
      <w:r>
        <w:rPr>
          <w:lang w:val="fr-FR"/>
        </w:rPr>
        <w:t>22</w:t>
      </w:r>
      <w:r w:rsidRPr="008C2D4D">
        <w:rPr>
          <w:lang w:val="fr-FR"/>
        </w:rPr>
        <w:t xml:space="preserve"> ci-dessus), et que l</w:t>
      </w:r>
      <w:r w:rsidR="00DC51BC">
        <w:rPr>
          <w:lang w:val="fr-FR"/>
        </w:rPr>
        <w:t>’</w:t>
      </w:r>
      <w:r w:rsidRPr="008C2D4D">
        <w:rPr>
          <w:lang w:val="fr-FR"/>
        </w:rPr>
        <w:t>audience devant la cour d</w:t>
      </w:r>
      <w:r w:rsidR="00DC51BC">
        <w:rPr>
          <w:lang w:val="fr-FR"/>
        </w:rPr>
        <w:t>’</w:t>
      </w:r>
      <w:r w:rsidRPr="008C2D4D">
        <w:rPr>
          <w:lang w:val="fr-FR"/>
        </w:rPr>
        <w:t xml:space="preserve">appel est fixée au 11 novembre 2016 (paragraphe </w:t>
      </w:r>
      <w:r>
        <w:rPr>
          <w:lang w:val="fr-FR"/>
        </w:rPr>
        <w:t>23</w:t>
      </w:r>
      <w:r w:rsidRPr="008C2D4D">
        <w:rPr>
          <w:lang w:val="fr-FR"/>
        </w:rPr>
        <w:t xml:space="preserve"> ci-dessus). La procédure devant le tribunal de Rome concernait une action en justice que le requérant, en son nom propre et en sa qualité de représentant légal de</w:t>
      </w:r>
      <w:r>
        <w:rPr>
          <w:lang w:val="fr-FR"/>
        </w:rPr>
        <w:t xml:space="preserve"> deux</w:t>
      </w:r>
      <w:r w:rsidRPr="008C2D4D">
        <w:rPr>
          <w:lang w:val="fr-FR"/>
        </w:rPr>
        <w:t xml:space="preserve"> sociétés anonymes, avait entamée</w:t>
      </w:r>
      <w:r>
        <w:rPr>
          <w:lang w:val="fr-FR"/>
        </w:rPr>
        <w:t>, entre autres,</w:t>
      </w:r>
      <w:r w:rsidRPr="008C2D4D">
        <w:rPr>
          <w:lang w:val="fr-FR"/>
        </w:rPr>
        <w:t xml:space="preserve"> à l</w:t>
      </w:r>
      <w:r w:rsidR="00DC51BC">
        <w:rPr>
          <w:lang w:val="fr-FR"/>
        </w:rPr>
        <w:t>’</w:t>
      </w:r>
      <w:r w:rsidRPr="008C2D4D">
        <w:rPr>
          <w:lang w:val="fr-FR"/>
        </w:rPr>
        <w:t>encontre de la Chambre des Députés, du ministre de la Justice ainsi que de l</w:t>
      </w:r>
      <w:r w:rsidR="00DC51BC">
        <w:rPr>
          <w:lang w:val="fr-FR"/>
        </w:rPr>
        <w:t>’</w:t>
      </w:r>
      <w:r w:rsidRPr="008C2D4D">
        <w:rPr>
          <w:lang w:val="fr-FR"/>
        </w:rPr>
        <w:t xml:space="preserve">éditeur e du directeur du quotidien </w:t>
      </w:r>
      <w:r w:rsidRPr="008C2D4D">
        <w:rPr>
          <w:i/>
          <w:lang w:val="fr-FR"/>
        </w:rPr>
        <w:t>Calabria Ora</w:t>
      </w:r>
      <w:r w:rsidRPr="008C2D4D">
        <w:rPr>
          <w:lang w:val="fr-FR"/>
        </w:rPr>
        <w:t>. Dans ces circonstances, le Gouvernement estime que le grief du requérant est en tout cas prématuré.</w:t>
      </w:r>
    </w:p>
    <w:p w:rsidR="009E78BF" w:rsidRDefault="009E78BF" w:rsidP="00195DFB">
      <w:pPr>
        <w:pStyle w:val="ECHRPara"/>
        <w:rPr>
          <w:lang w:val="fr-FR"/>
        </w:rPr>
      </w:pPr>
      <w:bookmarkStart w:id="10" w:name="rispostaricorrente"/>
      <w:r>
        <w:rPr>
          <w:lang w:val="fr-FR"/>
        </w:rPr>
        <w:t>28</w:t>
      </w:r>
      <w:bookmarkEnd w:id="10"/>
      <w:r w:rsidRPr="008C2D4D">
        <w:rPr>
          <w:lang w:val="fr-FR"/>
        </w:rPr>
        <w:t>.  Le requérant s</w:t>
      </w:r>
      <w:r w:rsidR="00DC51BC">
        <w:rPr>
          <w:lang w:val="fr-FR"/>
        </w:rPr>
        <w:t>’</w:t>
      </w:r>
      <w:r w:rsidRPr="008C2D4D">
        <w:rPr>
          <w:lang w:val="fr-FR"/>
        </w:rPr>
        <w:t>oppose à l</w:t>
      </w:r>
      <w:r w:rsidR="00DC51BC">
        <w:rPr>
          <w:lang w:val="fr-FR"/>
        </w:rPr>
        <w:t>’</w:t>
      </w:r>
      <w:r w:rsidRPr="008C2D4D">
        <w:rPr>
          <w:lang w:val="fr-FR"/>
        </w:rPr>
        <w:t>exception de non-épuisement du Gouvernement. Il observe que ce dernier n</w:t>
      </w:r>
      <w:r w:rsidR="00DC51BC">
        <w:rPr>
          <w:lang w:val="fr-FR"/>
        </w:rPr>
        <w:t>’</w:t>
      </w:r>
      <w:r w:rsidRPr="008C2D4D">
        <w:rPr>
          <w:lang w:val="fr-FR"/>
        </w:rPr>
        <w:t>a « produit aucune preuve concernant la nature et le contenu de l</w:t>
      </w:r>
      <w:r>
        <w:rPr>
          <w:lang w:val="fr-FR"/>
        </w:rPr>
        <w:t>a procédure</w:t>
      </w:r>
      <w:r w:rsidRPr="008C2D4D">
        <w:rPr>
          <w:lang w:val="fr-FR"/>
        </w:rPr>
        <w:t xml:space="preserve"> pendante devant la cour d</w:t>
      </w:r>
      <w:r w:rsidR="00DC51BC">
        <w:rPr>
          <w:lang w:val="fr-FR"/>
        </w:rPr>
        <w:t>’</w:t>
      </w:r>
      <w:r w:rsidRPr="008C2D4D">
        <w:rPr>
          <w:lang w:val="fr-FR"/>
        </w:rPr>
        <w:t>appel de Rome ». Or, il incomberait au Gouvernement qui excipe du non-épuisement de prouver que le requérant n</w:t>
      </w:r>
      <w:r w:rsidR="00DC51BC">
        <w:rPr>
          <w:lang w:val="fr-FR"/>
        </w:rPr>
        <w:t>’</w:t>
      </w:r>
      <w:r w:rsidRPr="008C2D4D">
        <w:rPr>
          <w:lang w:val="fr-FR"/>
        </w:rPr>
        <w:t>a pas fait usage d</w:t>
      </w:r>
      <w:r w:rsidR="00DC51BC">
        <w:rPr>
          <w:lang w:val="fr-FR"/>
        </w:rPr>
        <w:t>’</w:t>
      </w:r>
      <w:r w:rsidRPr="008C2D4D">
        <w:rPr>
          <w:lang w:val="fr-FR"/>
        </w:rPr>
        <w:t>un remède qui était effectif et accessible. Si ces preuves avaient été fournies, on pourrait « aisément démontrer » que l</w:t>
      </w:r>
      <w:r w:rsidR="00DC51BC">
        <w:rPr>
          <w:lang w:val="fr-FR"/>
        </w:rPr>
        <w:t>’</w:t>
      </w:r>
      <w:r w:rsidRPr="008C2D4D">
        <w:rPr>
          <w:lang w:val="fr-FR"/>
        </w:rPr>
        <w:t>affaire pendante devant la cour d</w:t>
      </w:r>
      <w:r w:rsidR="00DC51BC">
        <w:rPr>
          <w:lang w:val="fr-FR"/>
        </w:rPr>
        <w:t>’</w:t>
      </w:r>
      <w:r w:rsidRPr="008C2D4D">
        <w:rPr>
          <w:lang w:val="fr-FR"/>
        </w:rPr>
        <w:t>appel de Rome ne concerne pas l</w:t>
      </w:r>
      <w:r w:rsidR="00DC51BC">
        <w:rPr>
          <w:lang w:val="fr-FR"/>
        </w:rPr>
        <w:t>’</w:t>
      </w:r>
      <w:r w:rsidRPr="008C2D4D">
        <w:rPr>
          <w:lang w:val="fr-FR"/>
        </w:rPr>
        <w:t>objet de la présente requête. En l</w:t>
      </w:r>
      <w:r w:rsidR="00DC51BC">
        <w:rPr>
          <w:lang w:val="fr-FR"/>
        </w:rPr>
        <w:t>’</w:t>
      </w:r>
      <w:r w:rsidRPr="008C2D4D">
        <w:rPr>
          <w:lang w:val="fr-FR"/>
        </w:rPr>
        <w:t>espèce, les autorités n</w:t>
      </w:r>
      <w:r w:rsidR="00DC51BC">
        <w:rPr>
          <w:lang w:val="fr-FR"/>
        </w:rPr>
        <w:t>’</w:t>
      </w:r>
      <w:r w:rsidRPr="008C2D4D">
        <w:rPr>
          <w:lang w:val="fr-FR"/>
        </w:rPr>
        <w:t xml:space="preserve">ont pas ouvert une procédure pénale pour défendre les intérêts du requérant, ce qui </w:t>
      </w:r>
      <w:r>
        <w:rPr>
          <w:lang w:val="fr-FR"/>
        </w:rPr>
        <w:t>serait</w:t>
      </w:r>
      <w:r w:rsidRPr="008C2D4D">
        <w:rPr>
          <w:lang w:val="fr-FR"/>
        </w:rPr>
        <w:t xml:space="preserve"> en soi</w:t>
      </w:r>
      <w:r>
        <w:rPr>
          <w:lang w:val="fr-FR"/>
        </w:rPr>
        <w:t xml:space="preserve"> constitutif d</w:t>
      </w:r>
      <w:r w:rsidR="00DC51BC">
        <w:rPr>
          <w:lang w:val="fr-FR"/>
        </w:rPr>
        <w:t>’</w:t>
      </w:r>
      <w:r>
        <w:rPr>
          <w:lang w:val="fr-FR"/>
        </w:rPr>
        <w:t>une</w:t>
      </w:r>
      <w:r w:rsidRPr="008C2D4D">
        <w:rPr>
          <w:lang w:val="fr-FR"/>
        </w:rPr>
        <w:t xml:space="preserve"> violation de la Convention.</w:t>
      </w:r>
    </w:p>
    <w:p w:rsidR="009E78BF" w:rsidRDefault="009E78BF" w:rsidP="00195DFB">
      <w:pPr>
        <w:pStyle w:val="ECHRPara"/>
        <w:rPr>
          <w:lang w:val="fr-FR"/>
        </w:rPr>
      </w:pPr>
      <w:r>
        <w:rPr>
          <w:lang w:val="fr-FR"/>
        </w:rPr>
        <w:t>29.  </w:t>
      </w:r>
      <w:r>
        <w:rPr>
          <w:rFonts w:cstheme="minorHAnsi"/>
          <w:lang w:val="fr-FR"/>
        </w:rPr>
        <w:t>À</w:t>
      </w:r>
      <w:r>
        <w:rPr>
          <w:lang w:val="fr-FR"/>
        </w:rPr>
        <w:t xml:space="preserve"> titre liminaire, la Cour observe </w:t>
      </w:r>
      <w:r w:rsidRPr="00C113A5">
        <w:rPr>
          <w:lang w:val="fr-FR"/>
        </w:rPr>
        <w:t>qu</w:t>
      </w:r>
      <w:r w:rsidR="00DC51BC">
        <w:rPr>
          <w:lang w:val="fr-FR"/>
        </w:rPr>
        <w:t>’</w:t>
      </w:r>
      <w:r w:rsidRPr="00C113A5">
        <w:rPr>
          <w:lang w:val="fr-FR"/>
        </w:rPr>
        <w:t>en vertu de l</w:t>
      </w:r>
      <w:r w:rsidR="00DC51BC">
        <w:rPr>
          <w:lang w:val="fr-FR"/>
        </w:rPr>
        <w:t>’</w:t>
      </w:r>
      <w:r w:rsidRPr="00C113A5">
        <w:rPr>
          <w:lang w:val="fr-FR"/>
        </w:rPr>
        <w:t xml:space="preserve">article 47 § </w:t>
      </w:r>
      <w:r>
        <w:rPr>
          <w:lang w:val="fr-FR"/>
        </w:rPr>
        <w:t>7</w:t>
      </w:r>
      <w:r w:rsidRPr="00C113A5">
        <w:rPr>
          <w:lang w:val="fr-FR"/>
        </w:rPr>
        <w:t xml:space="preserve"> du règlement, il incombe au requérant de l</w:t>
      </w:r>
      <w:r w:rsidR="00DC51BC">
        <w:rPr>
          <w:lang w:val="fr-FR"/>
        </w:rPr>
        <w:t>’</w:t>
      </w:r>
      <w:r w:rsidRPr="00C113A5">
        <w:rPr>
          <w:lang w:val="fr-FR"/>
        </w:rPr>
        <w:t>informer « de tout fait pertinent pour l</w:t>
      </w:r>
      <w:r w:rsidR="00DC51BC">
        <w:rPr>
          <w:lang w:val="fr-FR"/>
        </w:rPr>
        <w:t>’</w:t>
      </w:r>
      <w:r w:rsidRPr="00C113A5">
        <w:rPr>
          <w:lang w:val="fr-FR"/>
        </w:rPr>
        <w:t xml:space="preserve">examen de sa requête ». </w:t>
      </w:r>
      <w:r>
        <w:rPr>
          <w:lang w:val="fr-FR"/>
        </w:rPr>
        <w:t>Or, avant la communication de sa requête, le requérant n</w:t>
      </w:r>
      <w:r w:rsidR="00DC51BC">
        <w:rPr>
          <w:lang w:val="fr-FR"/>
        </w:rPr>
        <w:t>’</w:t>
      </w:r>
      <w:r>
        <w:rPr>
          <w:lang w:val="fr-FR"/>
        </w:rPr>
        <w:t>a aucunement mentionné la procédure civile qu</w:t>
      </w:r>
      <w:r w:rsidR="00DC51BC">
        <w:rPr>
          <w:lang w:val="fr-FR"/>
        </w:rPr>
        <w:t>’</w:t>
      </w:r>
      <w:r>
        <w:rPr>
          <w:lang w:val="fr-FR"/>
        </w:rPr>
        <w:t xml:space="preserve">il a introduite devant le tribunal de Rome. </w:t>
      </w:r>
      <w:r>
        <w:rPr>
          <w:rFonts w:cstheme="minorHAnsi"/>
          <w:lang w:val="fr-FR"/>
        </w:rPr>
        <w:t>À</w:t>
      </w:r>
      <w:r>
        <w:rPr>
          <w:lang w:val="fr-FR"/>
        </w:rPr>
        <w:t xml:space="preserve"> cet égard, il convient de rappeler que </w:t>
      </w:r>
      <w:r w:rsidRPr="00C113A5">
        <w:rPr>
          <w:lang w:val="fr-FR"/>
        </w:rPr>
        <w:t>le 2</w:t>
      </w:r>
      <w:r>
        <w:rPr>
          <w:lang w:val="fr-FR"/>
        </w:rPr>
        <w:t>9 avril</w:t>
      </w:r>
      <w:r w:rsidRPr="00C113A5">
        <w:rPr>
          <w:lang w:val="fr-FR"/>
        </w:rPr>
        <w:t xml:space="preserve"> 200</w:t>
      </w:r>
      <w:r>
        <w:rPr>
          <w:lang w:val="fr-FR"/>
        </w:rPr>
        <w:t>8</w:t>
      </w:r>
      <w:r w:rsidRPr="00C113A5">
        <w:rPr>
          <w:lang w:val="fr-FR"/>
        </w:rPr>
        <w:t xml:space="preserve">, le greffe a fait savoir </w:t>
      </w:r>
      <w:r>
        <w:rPr>
          <w:lang w:val="fr-FR"/>
        </w:rPr>
        <w:t>au</w:t>
      </w:r>
      <w:r w:rsidRPr="00C113A5">
        <w:rPr>
          <w:lang w:val="fr-FR"/>
        </w:rPr>
        <w:t xml:space="preserve"> requérant qu</w:t>
      </w:r>
      <w:r w:rsidR="00DC51BC">
        <w:rPr>
          <w:lang w:val="fr-FR"/>
        </w:rPr>
        <w:t>’</w:t>
      </w:r>
      <w:r w:rsidRPr="00C113A5">
        <w:rPr>
          <w:lang w:val="fr-FR"/>
        </w:rPr>
        <w:t>il lui appartenait de l</w:t>
      </w:r>
      <w:r w:rsidR="00DC51BC">
        <w:rPr>
          <w:lang w:val="fr-FR"/>
        </w:rPr>
        <w:t>’</w:t>
      </w:r>
      <w:r w:rsidRPr="00C113A5">
        <w:rPr>
          <w:lang w:val="fr-FR"/>
        </w:rPr>
        <w:t xml:space="preserve">informer de tout événement ultérieur important relatif à son affaire. </w:t>
      </w:r>
      <w:r>
        <w:rPr>
          <w:lang w:val="fr-FR"/>
        </w:rPr>
        <w:t xml:space="preserve">Aux yeux de la Cour, il ne fait aucun doute que le jugement du tribunal de Rome du </w:t>
      </w:r>
      <w:r w:rsidRPr="008C2D4D">
        <w:rPr>
          <w:lang w:val="fr-FR"/>
        </w:rPr>
        <w:t>5 novembre 2012</w:t>
      </w:r>
      <w:r>
        <w:rPr>
          <w:lang w:val="fr-FR"/>
        </w:rPr>
        <w:t xml:space="preserve"> et l</w:t>
      </w:r>
      <w:r w:rsidR="00DC51BC">
        <w:rPr>
          <w:lang w:val="fr-FR"/>
        </w:rPr>
        <w:t>’</w:t>
      </w:r>
      <w:r>
        <w:rPr>
          <w:lang w:val="fr-FR"/>
        </w:rPr>
        <w:t>appel interjeté contre celui-ci étaient de développements significatifs de l</w:t>
      </w:r>
      <w:r w:rsidR="00DC51BC">
        <w:rPr>
          <w:lang w:val="fr-FR"/>
        </w:rPr>
        <w:t>’</w:t>
      </w:r>
      <w:r>
        <w:rPr>
          <w:lang w:val="fr-FR"/>
        </w:rPr>
        <w:t>affaire, qu</w:t>
      </w:r>
      <w:r w:rsidR="00DC51BC">
        <w:rPr>
          <w:lang w:val="fr-FR"/>
        </w:rPr>
        <w:t>’</w:t>
      </w:r>
      <w:r>
        <w:rPr>
          <w:lang w:val="fr-FR"/>
        </w:rPr>
        <w:t xml:space="preserve">il incombait au requérant de lui signaler. Qui plus est, lorsque le Gouvernement a excipé du non-épuisement des voies de recours internes, loin de fournir des précisions quant au recours </w:t>
      </w:r>
      <w:r>
        <w:rPr>
          <w:lang w:val="fr-FR"/>
        </w:rPr>
        <w:lastRenderedPageBreak/>
        <w:t>et à l</w:t>
      </w:r>
      <w:r w:rsidR="00DC51BC">
        <w:rPr>
          <w:lang w:val="fr-FR"/>
        </w:rPr>
        <w:t>’</w:t>
      </w:r>
      <w:r>
        <w:rPr>
          <w:lang w:val="fr-FR"/>
        </w:rPr>
        <w:t>appel qu</w:t>
      </w:r>
      <w:r w:rsidR="00DC51BC">
        <w:rPr>
          <w:lang w:val="fr-FR"/>
        </w:rPr>
        <w:t>’</w:t>
      </w:r>
      <w:r>
        <w:rPr>
          <w:lang w:val="fr-FR"/>
        </w:rPr>
        <w:t>il avait lui-même introduits, le requérant s</w:t>
      </w:r>
      <w:r w:rsidR="00DC51BC">
        <w:rPr>
          <w:lang w:val="fr-FR"/>
        </w:rPr>
        <w:t>’</w:t>
      </w:r>
      <w:r>
        <w:rPr>
          <w:lang w:val="fr-FR"/>
        </w:rPr>
        <w:t>est borné à observer qu</w:t>
      </w:r>
      <w:r w:rsidR="00DC51BC">
        <w:rPr>
          <w:lang w:val="fr-FR"/>
        </w:rPr>
        <w:t>’</w:t>
      </w:r>
      <w:r>
        <w:rPr>
          <w:lang w:val="fr-FR"/>
        </w:rPr>
        <w:t>aucune preuve n</w:t>
      </w:r>
      <w:r w:rsidR="00DC51BC">
        <w:rPr>
          <w:lang w:val="fr-FR"/>
        </w:rPr>
        <w:t>’</w:t>
      </w:r>
      <w:r>
        <w:rPr>
          <w:lang w:val="fr-FR"/>
        </w:rPr>
        <w:t xml:space="preserve">avait été produite quant à </w:t>
      </w:r>
      <w:r w:rsidRPr="008C2D4D">
        <w:rPr>
          <w:lang w:val="fr-FR"/>
        </w:rPr>
        <w:t xml:space="preserve">la nature et </w:t>
      </w:r>
      <w:r>
        <w:rPr>
          <w:lang w:val="fr-FR"/>
        </w:rPr>
        <w:t>au</w:t>
      </w:r>
      <w:r w:rsidRPr="008C2D4D">
        <w:rPr>
          <w:lang w:val="fr-FR"/>
        </w:rPr>
        <w:t xml:space="preserve"> contenu de l</w:t>
      </w:r>
      <w:r w:rsidR="00DC51BC">
        <w:rPr>
          <w:lang w:val="fr-FR"/>
        </w:rPr>
        <w:t>’</w:t>
      </w:r>
      <w:r w:rsidRPr="008C2D4D">
        <w:rPr>
          <w:lang w:val="fr-FR"/>
        </w:rPr>
        <w:t>affaire pendante devant la cour d</w:t>
      </w:r>
      <w:r w:rsidR="00DC51BC">
        <w:rPr>
          <w:lang w:val="fr-FR"/>
        </w:rPr>
        <w:t>’</w:t>
      </w:r>
      <w:r w:rsidRPr="008C2D4D">
        <w:rPr>
          <w:lang w:val="fr-FR"/>
        </w:rPr>
        <w:t>appel de Rome</w:t>
      </w:r>
      <w:r w:rsidRPr="00C113A5">
        <w:rPr>
          <w:lang w:val="fr-FR"/>
        </w:rPr>
        <w:t xml:space="preserve">. </w:t>
      </w:r>
      <w:r>
        <w:rPr>
          <w:lang w:val="fr-FR"/>
        </w:rPr>
        <w:t>Ces informations n</w:t>
      </w:r>
      <w:r w:rsidR="00DC51BC">
        <w:rPr>
          <w:lang w:val="fr-FR"/>
        </w:rPr>
        <w:t>’</w:t>
      </w:r>
      <w:r>
        <w:rPr>
          <w:lang w:val="fr-FR"/>
        </w:rPr>
        <w:t>ont pu être obtenues par le greffe qu</w:t>
      </w:r>
      <w:r w:rsidR="00DC51BC">
        <w:rPr>
          <w:lang w:val="fr-FR"/>
        </w:rPr>
        <w:t>’</w:t>
      </w:r>
      <w:r>
        <w:rPr>
          <w:lang w:val="fr-FR"/>
        </w:rPr>
        <w:t>en s</w:t>
      </w:r>
      <w:r w:rsidR="00DC51BC">
        <w:rPr>
          <w:lang w:val="fr-FR"/>
        </w:rPr>
        <w:t>’</w:t>
      </w:r>
      <w:r>
        <w:rPr>
          <w:lang w:val="fr-FR"/>
        </w:rPr>
        <w:t xml:space="preserve">adressant directement au Gouvernement et en lui demandant de produire une copie des documents pertinents. </w:t>
      </w:r>
      <w:r>
        <w:rPr>
          <w:rFonts w:cstheme="minorHAnsi"/>
          <w:lang w:val="fr-FR"/>
        </w:rPr>
        <w:t>À</w:t>
      </w:r>
      <w:r>
        <w:rPr>
          <w:lang w:val="fr-FR"/>
        </w:rPr>
        <w:t xml:space="preserve"> la lumière de ce qui précède, la Cour </w:t>
      </w:r>
      <w:r w:rsidRPr="00C113A5">
        <w:rPr>
          <w:lang w:val="fr-FR"/>
        </w:rPr>
        <w:t xml:space="preserve">retient </w:t>
      </w:r>
      <w:r>
        <w:rPr>
          <w:lang w:val="fr-FR"/>
        </w:rPr>
        <w:t>que le requérant a</w:t>
      </w:r>
      <w:r w:rsidRPr="00C113A5">
        <w:rPr>
          <w:lang w:val="fr-FR"/>
        </w:rPr>
        <w:t xml:space="preserve"> </w:t>
      </w:r>
      <w:r>
        <w:rPr>
          <w:lang w:val="fr-FR"/>
        </w:rPr>
        <w:t xml:space="preserve">omis </w:t>
      </w:r>
      <w:r w:rsidRPr="00C113A5">
        <w:rPr>
          <w:lang w:val="fr-FR"/>
        </w:rPr>
        <w:t xml:space="preserve">sciemment de porter à </w:t>
      </w:r>
      <w:r>
        <w:rPr>
          <w:lang w:val="fr-FR"/>
        </w:rPr>
        <w:t>s</w:t>
      </w:r>
      <w:r w:rsidRPr="00C113A5">
        <w:rPr>
          <w:lang w:val="fr-FR"/>
        </w:rPr>
        <w:t>a connaissance</w:t>
      </w:r>
      <w:r>
        <w:rPr>
          <w:lang w:val="fr-FR"/>
        </w:rPr>
        <w:t xml:space="preserve"> des faits pertinents pour l</w:t>
      </w:r>
      <w:r w:rsidR="00DC51BC">
        <w:rPr>
          <w:lang w:val="fr-FR"/>
        </w:rPr>
        <w:t>’</w:t>
      </w:r>
      <w:r>
        <w:rPr>
          <w:lang w:val="fr-FR"/>
        </w:rPr>
        <w:t>examen de sa requête</w:t>
      </w:r>
      <w:r w:rsidRPr="00C113A5">
        <w:rPr>
          <w:lang w:val="fr-FR"/>
        </w:rPr>
        <w:t>, en méconnaissance de l</w:t>
      </w:r>
      <w:r w:rsidR="00DC51BC">
        <w:rPr>
          <w:lang w:val="fr-FR"/>
        </w:rPr>
        <w:t>’</w:t>
      </w:r>
      <w:r w:rsidRPr="00C113A5">
        <w:rPr>
          <w:lang w:val="fr-FR"/>
        </w:rPr>
        <w:t>obligation qui l</w:t>
      </w:r>
      <w:r>
        <w:rPr>
          <w:lang w:val="fr-FR"/>
        </w:rPr>
        <w:t>ui</w:t>
      </w:r>
      <w:r w:rsidRPr="00C113A5">
        <w:rPr>
          <w:lang w:val="fr-FR"/>
        </w:rPr>
        <w:t xml:space="preserve"> était faite par les articles 44 C § 1 et 47 § </w:t>
      </w:r>
      <w:r>
        <w:rPr>
          <w:lang w:val="fr-FR"/>
        </w:rPr>
        <w:t>7</w:t>
      </w:r>
      <w:r w:rsidRPr="00C113A5">
        <w:rPr>
          <w:lang w:val="fr-FR"/>
        </w:rPr>
        <w:t xml:space="preserve"> du règlement, ainsi que de </w:t>
      </w:r>
      <w:r>
        <w:rPr>
          <w:lang w:val="fr-FR"/>
        </w:rPr>
        <w:t>son</w:t>
      </w:r>
      <w:r w:rsidRPr="00C113A5">
        <w:rPr>
          <w:lang w:val="fr-FR"/>
        </w:rPr>
        <w:t xml:space="preserve"> devoir de coopérer avec la Cour dans le but d</w:t>
      </w:r>
      <w:r w:rsidR="00DC51BC">
        <w:rPr>
          <w:lang w:val="fr-FR"/>
        </w:rPr>
        <w:t>’</w:t>
      </w:r>
      <w:r w:rsidRPr="00C113A5">
        <w:rPr>
          <w:lang w:val="fr-FR"/>
        </w:rPr>
        <w:t>une bonne administration de la justice, énoncé à l</w:t>
      </w:r>
      <w:r w:rsidR="00DC51BC">
        <w:rPr>
          <w:lang w:val="fr-FR"/>
        </w:rPr>
        <w:t>’</w:t>
      </w:r>
      <w:r w:rsidRPr="00C113A5">
        <w:rPr>
          <w:lang w:val="fr-FR"/>
        </w:rPr>
        <w:t>article 44 A du règlement</w:t>
      </w:r>
      <w:r>
        <w:rPr>
          <w:lang w:val="fr-FR"/>
        </w:rPr>
        <w:t xml:space="preserve"> (voir, </w:t>
      </w:r>
      <w:r>
        <w:rPr>
          <w:i/>
          <w:lang w:val="fr-FR"/>
        </w:rPr>
        <w:t>mutatis mutandis</w:t>
      </w:r>
      <w:r>
        <w:rPr>
          <w:lang w:val="fr-FR"/>
        </w:rPr>
        <w:t>,</w:t>
      </w:r>
      <w:r>
        <w:rPr>
          <w:i/>
          <w:lang w:val="fr-FR"/>
        </w:rPr>
        <w:t xml:space="preserve"> </w:t>
      </w:r>
      <w:r w:rsidRPr="00C113A5">
        <w:rPr>
          <w:i/>
          <w:sz w:val="22"/>
          <w:lang w:val="fr-FR"/>
        </w:rPr>
        <w:t xml:space="preserve">Cernescu </w:t>
      </w:r>
      <w:r>
        <w:rPr>
          <w:i/>
          <w:sz w:val="22"/>
          <w:lang w:val="fr-FR"/>
        </w:rPr>
        <w:t>et</w:t>
      </w:r>
      <w:r w:rsidRPr="00C113A5">
        <w:rPr>
          <w:i/>
          <w:sz w:val="22"/>
          <w:lang w:val="fr-FR"/>
        </w:rPr>
        <w:t xml:space="preserve"> Manolache </w:t>
      </w:r>
      <w:r>
        <w:rPr>
          <w:i/>
          <w:sz w:val="22"/>
          <w:lang w:val="fr-FR"/>
        </w:rPr>
        <w:t>c</w:t>
      </w:r>
      <w:r w:rsidRPr="00C113A5">
        <w:rPr>
          <w:i/>
          <w:sz w:val="22"/>
          <w:lang w:val="fr-FR"/>
        </w:rPr>
        <w:t>.</w:t>
      </w:r>
      <w:r w:rsidR="00901DAE">
        <w:rPr>
          <w:i/>
          <w:sz w:val="22"/>
          <w:lang w:val="fr-FR"/>
        </w:rPr>
        <w:t xml:space="preserve"> </w:t>
      </w:r>
      <w:r w:rsidRPr="00C113A5">
        <w:rPr>
          <w:i/>
          <w:sz w:val="22"/>
          <w:lang w:val="fr-FR"/>
        </w:rPr>
        <w:t>Ro</w:t>
      </w:r>
      <w:r>
        <w:rPr>
          <w:i/>
          <w:sz w:val="22"/>
          <w:lang w:val="fr-FR"/>
        </w:rPr>
        <w:t>u</w:t>
      </w:r>
      <w:r w:rsidRPr="00C113A5">
        <w:rPr>
          <w:i/>
          <w:sz w:val="22"/>
          <w:lang w:val="fr-FR"/>
        </w:rPr>
        <w:t>mani</w:t>
      </w:r>
      <w:r>
        <w:rPr>
          <w:i/>
          <w:sz w:val="22"/>
          <w:lang w:val="fr-FR"/>
        </w:rPr>
        <w:t>e</w:t>
      </w:r>
      <w:r w:rsidRPr="00C113A5">
        <w:rPr>
          <w:sz w:val="22"/>
          <w:lang w:val="fr-FR"/>
        </w:rPr>
        <w:t xml:space="preserve"> (r</w:t>
      </w:r>
      <w:r>
        <w:rPr>
          <w:sz w:val="22"/>
          <w:lang w:val="fr-FR"/>
        </w:rPr>
        <w:t>é</w:t>
      </w:r>
      <w:r w:rsidRPr="00C113A5">
        <w:rPr>
          <w:sz w:val="22"/>
          <w:lang w:val="fr-FR"/>
        </w:rPr>
        <w:t>vision), n</w:t>
      </w:r>
      <w:r w:rsidRPr="009E78BF">
        <w:rPr>
          <w:sz w:val="22"/>
          <w:vertAlign w:val="superscript"/>
          <w:lang w:val="fr-FR"/>
        </w:rPr>
        <w:t>o</w:t>
      </w:r>
      <w:r w:rsidRPr="00C113A5">
        <w:rPr>
          <w:sz w:val="22"/>
          <w:lang w:val="fr-FR"/>
        </w:rPr>
        <w:t xml:space="preserve"> 28607/04, §</w:t>
      </w:r>
      <w:r>
        <w:rPr>
          <w:sz w:val="22"/>
          <w:lang w:val="fr-FR"/>
        </w:rPr>
        <w:t> </w:t>
      </w:r>
      <w:r w:rsidRPr="00C113A5">
        <w:rPr>
          <w:sz w:val="22"/>
          <w:lang w:val="fr-FR"/>
        </w:rPr>
        <w:t>1</w:t>
      </w:r>
      <w:r>
        <w:rPr>
          <w:sz w:val="22"/>
          <w:lang w:val="fr-FR"/>
        </w:rPr>
        <w:t>3</w:t>
      </w:r>
      <w:r w:rsidRPr="00C113A5">
        <w:rPr>
          <w:sz w:val="22"/>
          <w:lang w:val="fr-FR"/>
        </w:rPr>
        <w:t xml:space="preserve">, 30 </w:t>
      </w:r>
      <w:r>
        <w:rPr>
          <w:sz w:val="22"/>
          <w:lang w:val="fr-FR"/>
        </w:rPr>
        <w:t>novembre</w:t>
      </w:r>
      <w:r w:rsidRPr="00C113A5">
        <w:rPr>
          <w:sz w:val="22"/>
          <w:lang w:val="fr-FR"/>
        </w:rPr>
        <w:t xml:space="preserve"> 2010</w:t>
      </w:r>
      <w:r>
        <w:rPr>
          <w:sz w:val="22"/>
          <w:lang w:val="fr-FR"/>
        </w:rPr>
        <w:t> </w:t>
      </w:r>
      <w:r w:rsidRPr="00C113A5">
        <w:rPr>
          <w:sz w:val="22"/>
          <w:lang w:val="fr-FR"/>
        </w:rPr>
        <w:t xml:space="preserve">; </w:t>
      </w:r>
      <w:r w:rsidRPr="00C113A5">
        <w:rPr>
          <w:i/>
          <w:sz w:val="22"/>
          <w:lang w:val="fr-FR"/>
        </w:rPr>
        <w:t xml:space="preserve">Sc Placebo Consult Srl </w:t>
      </w:r>
      <w:r>
        <w:rPr>
          <w:i/>
          <w:sz w:val="22"/>
          <w:lang w:val="fr-FR"/>
        </w:rPr>
        <w:t>c</w:t>
      </w:r>
      <w:r w:rsidRPr="00C113A5">
        <w:rPr>
          <w:i/>
          <w:sz w:val="22"/>
          <w:lang w:val="fr-FR"/>
        </w:rPr>
        <w:t>.</w:t>
      </w:r>
      <w:r w:rsidR="00901DAE">
        <w:rPr>
          <w:i/>
          <w:sz w:val="22"/>
          <w:lang w:val="fr-FR"/>
        </w:rPr>
        <w:t xml:space="preserve"> </w:t>
      </w:r>
      <w:r w:rsidRPr="00C113A5">
        <w:rPr>
          <w:i/>
          <w:sz w:val="22"/>
          <w:lang w:val="fr-FR"/>
        </w:rPr>
        <w:t>Ro</w:t>
      </w:r>
      <w:r>
        <w:rPr>
          <w:i/>
          <w:sz w:val="22"/>
          <w:lang w:val="fr-FR"/>
        </w:rPr>
        <w:t>u</w:t>
      </w:r>
      <w:r w:rsidRPr="00C113A5">
        <w:rPr>
          <w:i/>
          <w:sz w:val="22"/>
          <w:lang w:val="fr-FR"/>
        </w:rPr>
        <w:t>mani</w:t>
      </w:r>
      <w:r>
        <w:rPr>
          <w:i/>
          <w:sz w:val="22"/>
          <w:lang w:val="fr-FR"/>
        </w:rPr>
        <w:t>e</w:t>
      </w:r>
      <w:r w:rsidRPr="00C113A5">
        <w:rPr>
          <w:i/>
          <w:sz w:val="22"/>
          <w:lang w:val="fr-FR"/>
        </w:rPr>
        <w:t xml:space="preserve"> </w:t>
      </w:r>
      <w:r w:rsidRPr="00C113A5">
        <w:rPr>
          <w:sz w:val="22"/>
          <w:lang w:val="fr-FR"/>
        </w:rPr>
        <w:t>(r</w:t>
      </w:r>
      <w:r>
        <w:rPr>
          <w:sz w:val="22"/>
          <w:lang w:val="fr-FR"/>
        </w:rPr>
        <w:t>é</w:t>
      </w:r>
      <w:r w:rsidRPr="00C113A5">
        <w:rPr>
          <w:sz w:val="22"/>
          <w:lang w:val="fr-FR"/>
        </w:rPr>
        <w:t>vision), n</w:t>
      </w:r>
      <w:r w:rsidRPr="009E78BF">
        <w:rPr>
          <w:sz w:val="22"/>
          <w:vertAlign w:val="superscript"/>
          <w:lang w:val="fr-FR"/>
        </w:rPr>
        <w:t>o</w:t>
      </w:r>
      <w:r>
        <w:rPr>
          <w:sz w:val="22"/>
          <w:lang w:val="fr-FR"/>
        </w:rPr>
        <w:t> </w:t>
      </w:r>
      <w:r w:rsidRPr="00C113A5">
        <w:rPr>
          <w:sz w:val="22"/>
          <w:lang w:val="fr-FR"/>
        </w:rPr>
        <w:t>28529/04, § 2</w:t>
      </w:r>
      <w:r>
        <w:rPr>
          <w:sz w:val="22"/>
          <w:lang w:val="fr-FR"/>
        </w:rPr>
        <w:t>0</w:t>
      </w:r>
      <w:r w:rsidRPr="00C113A5">
        <w:rPr>
          <w:sz w:val="22"/>
          <w:lang w:val="fr-FR"/>
        </w:rPr>
        <w:t xml:space="preserve">, 21 </w:t>
      </w:r>
      <w:r>
        <w:rPr>
          <w:sz w:val="22"/>
          <w:lang w:val="fr-FR"/>
        </w:rPr>
        <w:t>juin</w:t>
      </w:r>
      <w:r w:rsidRPr="00C113A5">
        <w:rPr>
          <w:sz w:val="22"/>
          <w:lang w:val="fr-FR"/>
        </w:rPr>
        <w:t xml:space="preserve"> 2011</w:t>
      </w:r>
      <w:r>
        <w:rPr>
          <w:sz w:val="22"/>
          <w:lang w:val="fr-FR"/>
        </w:rPr>
        <w:t> </w:t>
      </w:r>
      <w:r w:rsidRPr="00C113A5">
        <w:rPr>
          <w:sz w:val="22"/>
          <w:lang w:val="fr-FR"/>
        </w:rPr>
        <w:t xml:space="preserve">; </w:t>
      </w:r>
      <w:r w:rsidRPr="00C113A5">
        <w:rPr>
          <w:i/>
          <w:sz w:val="22"/>
          <w:lang w:val="fr-FR"/>
        </w:rPr>
        <w:t xml:space="preserve">Moşoiu </w:t>
      </w:r>
      <w:r>
        <w:rPr>
          <w:i/>
          <w:sz w:val="22"/>
          <w:lang w:val="fr-FR"/>
        </w:rPr>
        <w:t>et</w:t>
      </w:r>
      <w:r w:rsidRPr="00C113A5">
        <w:rPr>
          <w:i/>
          <w:sz w:val="22"/>
          <w:lang w:val="fr-FR"/>
        </w:rPr>
        <w:t xml:space="preserve"> Păsărin </w:t>
      </w:r>
      <w:r>
        <w:rPr>
          <w:i/>
          <w:sz w:val="22"/>
          <w:lang w:val="fr-FR"/>
        </w:rPr>
        <w:t>c</w:t>
      </w:r>
      <w:r w:rsidRPr="00C113A5">
        <w:rPr>
          <w:i/>
          <w:sz w:val="22"/>
          <w:lang w:val="fr-FR"/>
        </w:rPr>
        <w:t>.</w:t>
      </w:r>
      <w:r w:rsidR="00901DAE">
        <w:rPr>
          <w:i/>
          <w:sz w:val="22"/>
          <w:lang w:val="fr-FR"/>
        </w:rPr>
        <w:t xml:space="preserve"> </w:t>
      </w:r>
      <w:r w:rsidRPr="00C113A5">
        <w:rPr>
          <w:i/>
          <w:sz w:val="22"/>
          <w:lang w:val="fr-FR"/>
        </w:rPr>
        <w:t>Ro</w:t>
      </w:r>
      <w:r>
        <w:rPr>
          <w:i/>
          <w:sz w:val="22"/>
          <w:lang w:val="fr-FR"/>
        </w:rPr>
        <w:t>u</w:t>
      </w:r>
      <w:r w:rsidRPr="00C113A5">
        <w:rPr>
          <w:i/>
          <w:sz w:val="22"/>
          <w:lang w:val="fr-FR"/>
        </w:rPr>
        <w:t>mani</w:t>
      </w:r>
      <w:r>
        <w:rPr>
          <w:i/>
          <w:sz w:val="22"/>
          <w:lang w:val="fr-FR"/>
        </w:rPr>
        <w:t>e</w:t>
      </w:r>
      <w:r w:rsidRPr="00C113A5">
        <w:rPr>
          <w:sz w:val="22"/>
          <w:lang w:val="fr-FR"/>
        </w:rPr>
        <w:t xml:space="preserve"> (r</w:t>
      </w:r>
      <w:r>
        <w:rPr>
          <w:sz w:val="22"/>
          <w:lang w:val="fr-FR"/>
        </w:rPr>
        <w:t>é</w:t>
      </w:r>
      <w:r w:rsidRPr="00C113A5">
        <w:rPr>
          <w:sz w:val="22"/>
          <w:lang w:val="fr-FR"/>
        </w:rPr>
        <w:t>vision), n</w:t>
      </w:r>
      <w:r w:rsidRPr="009E78BF">
        <w:rPr>
          <w:sz w:val="22"/>
          <w:vertAlign w:val="superscript"/>
          <w:lang w:val="fr-FR"/>
        </w:rPr>
        <w:t>o</w:t>
      </w:r>
      <w:r>
        <w:rPr>
          <w:sz w:val="22"/>
          <w:lang w:val="fr-FR"/>
        </w:rPr>
        <w:t> </w:t>
      </w:r>
      <w:r w:rsidRPr="00C113A5">
        <w:rPr>
          <w:sz w:val="22"/>
          <w:lang w:val="fr-FR"/>
        </w:rPr>
        <w:t>10245/02, §</w:t>
      </w:r>
      <w:r w:rsidR="00901DAE">
        <w:rPr>
          <w:sz w:val="22"/>
          <w:lang w:val="fr-FR"/>
        </w:rPr>
        <w:t xml:space="preserve"> </w:t>
      </w:r>
      <w:r w:rsidRPr="00C113A5">
        <w:rPr>
          <w:sz w:val="22"/>
          <w:lang w:val="fr-FR"/>
        </w:rPr>
        <w:t>1</w:t>
      </w:r>
      <w:r>
        <w:rPr>
          <w:sz w:val="22"/>
          <w:lang w:val="fr-FR"/>
        </w:rPr>
        <w:t>4</w:t>
      </w:r>
      <w:r w:rsidRPr="00C113A5">
        <w:rPr>
          <w:sz w:val="22"/>
          <w:lang w:val="fr-FR"/>
        </w:rPr>
        <w:t xml:space="preserve">, 28 </w:t>
      </w:r>
      <w:r>
        <w:rPr>
          <w:sz w:val="22"/>
          <w:lang w:val="fr-FR"/>
        </w:rPr>
        <w:t>juin</w:t>
      </w:r>
      <w:r w:rsidRPr="00C113A5">
        <w:rPr>
          <w:sz w:val="22"/>
          <w:lang w:val="fr-FR"/>
        </w:rPr>
        <w:t xml:space="preserve"> 20</w:t>
      </w:r>
      <w:r>
        <w:rPr>
          <w:sz w:val="22"/>
          <w:lang w:val="fr-FR"/>
        </w:rPr>
        <w:t>1</w:t>
      </w:r>
      <w:r w:rsidRPr="00C113A5">
        <w:rPr>
          <w:sz w:val="22"/>
          <w:lang w:val="fr-FR"/>
        </w:rPr>
        <w:t>1</w:t>
      </w:r>
      <w:r>
        <w:rPr>
          <w:sz w:val="22"/>
          <w:lang w:val="fr-FR"/>
        </w:rPr>
        <w:t> </w:t>
      </w:r>
      <w:r w:rsidRPr="00C113A5">
        <w:rPr>
          <w:sz w:val="22"/>
          <w:lang w:val="fr-FR"/>
        </w:rPr>
        <w:t>;</w:t>
      </w:r>
      <w:r>
        <w:rPr>
          <w:sz w:val="22"/>
          <w:lang w:val="fr-FR"/>
        </w:rPr>
        <w:t xml:space="preserve"> et</w:t>
      </w:r>
      <w:r w:rsidRPr="00C113A5">
        <w:rPr>
          <w:sz w:val="22"/>
          <w:lang w:val="fr-FR"/>
        </w:rPr>
        <w:t xml:space="preserve"> </w:t>
      </w:r>
      <w:r w:rsidRPr="00C113A5">
        <w:rPr>
          <w:i/>
          <w:sz w:val="22"/>
          <w:lang w:val="fr-FR"/>
        </w:rPr>
        <w:t xml:space="preserve">Gardean and S.C. Grup 95 SA </w:t>
      </w:r>
      <w:r>
        <w:rPr>
          <w:i/>
          <w:sz w:val="22"/>
          <w:lang w:val="fr-FR"/>
        </w:rPr>
        <w:t>c</w:t>
      </w:r>
      <w:r w:rsidRPr="00C113A5">
        <w:rPr>
          <w:i/>
          <w:sz w:val="22"/>
          <w:lang w:val="fr-FR"/>
        </w:rPr>
        <w:t>. Ro</w:t>
      </w:r>
      <w:r>
        <w:rPr>
          <w:i/>
          <w:sz w:val="22"/>
          <w:lang w:val="fr-FR"/>
        </w:rPr>
        <w:t>u</w:t>
      </w:r>
      <w:r w:rsidRPr="00C113A5">
        <w:rPr>
          <w:i/>
          <w:sz w:val="22"/>
          <w:lang w:val="fr-FR"/>
        </w:rPr>
        <w:t>mani</w:t>
      </w:r>
      <w:r>
        <w:rPr>
          <w:i/>
          <w:sz w:val="22"/>
          <w:lang w:val="fr-FR"/>
        </w:rPr>
        <w:t>e</w:t>
      </w:r>
      <w:r w:rsidRPr="00C113A5">
        <w:rPr>
          <w:sz w:val="22"/>
          <w:lang w:val="fr-FR"/>
        </w:rPr>
        <w:t xml:space="preserve"> (r</w:t>
      </w:r>
      <w:r>
        <w:rPr>
          <w:sz w:val="22"/>
          <w:lang w:val="fr-FR"/>
        </w:rPr>
        <w:t>é</w:t>
      </w:r>
      <w:r w:rsidRPr="00C113A5">
        <w:rPr>
          <w:sz w:val="22"/>
          <w:lang w:val="fr-FR"/>
        </w:rPr>
        <w:t>vision), n</w:t>
      </w:r>
      <w:r w:rsidRPr="009E78BF">
        <w:rPr>
          <w:sz w:val="22"/>
          <w:vertAlign w:val="superscript"/>
          <w:lang w:val="fr-FR"/>
        </w:rPr>
        <w:t>o</w:t>
      </w:r>
      <w:r w:rsidRPr="00C113A5">
        <w:rPr>
          <w:sz w:val="22"/>
          <w:lang w:val="fr-FR"/>
        </w:rPr>
        <w:t xml:space="preserve"> 25787/04, §</w:t>
      </w:r>
      <w:r>
        <w:rPr>
          <w:sz w:val="22"/>
          <w:lang w:val="fr-FR"/>
        </w:rPr>
        <w:t xml:space="preserve"> </w:t>
      </w:r>
      <w:r w:rsidRPr="00C113A5">
        <w:rPr>
          <w:sz w:val="22"/>
          <w:lang w:val="fr-FR"/>
        </w:rPr>
        <w:t xml:space="preserve">20, 30 </w:t>
      </w:r>
      <w:r>
        <w:rPr>
          <w:sz w:val="22"/>
          <w:lang w:val="fr-FR"/>
        </w:rPr>
        <w:t>avril</w:t>
      </w:r>
      <w:r w:rsidRPr="00C113A5">
        <w:rPr>
          <w:sz w:val="22"/>
          <w:lang w:val="fr-FR"/>
        </w:rPr>
        <w:t xml:space="preserve"> 20</w:t>
      </w:r>
      <w:r>
        <w:rPr>
          <w:sz w:val="22"/>
          <w:lang w:val="fr-FR"/>
        </w:rPr>
        <w:t>1</w:t>
      </w:r>
      <w:r w:rsidRPr="00C113A5">
        <w:rPr>
          <w:sz w:val="22"/>
          <w:lang w:val="fr-FR"/>
        </w:rPr>
        <w:t>3</w:t>
      </w:r>
      <w:r>
        <w:rPr>
          <w:sz w:val="22"/>
          <w:lang w:val="fr-FR"/>
        </w:rPr>
        <w:t>).</w:t>
      </w:r>
    </w:p>
    <w:p w:rsidR="009E78BF" w:rsidRDefault="009E78BF" w:rsidP="00195DFB">
      <w:pPr>
        <w:pStyle w:val="ECHRPara"/>
        <w:rPr>
          <w:lang w:val="fr-FR"/>
        </w:rPr>
      </w:pPr>
      <w:r>
        <w:rPr>
          <w:lang w:val="fr-FR"/>
        </w:rPr>
        <w:t>30.  Cependant, dans les circonstances de l</w:t>
      </w:r>
      <w:r w:rsidR="00DC51BC">
        <w:rPr>
          <w:lang w:val="fr-FR"/>
        </w:rPr>
        <w:t>’</w:t>
      </w:r>
      <w:r>
        <w:rPr>
          <w:lang w:val="fr-FR"/>
        </w:rPr>
        <w:t>espèce, la Cour n</w:t>
      </w:r>
      <w:r w:rsidR="00DC51BC">
        <w:rPr>
          <w:lang w:val="fr-FR"/>
        </w:rPr>
        <w:t>’</w:t>
      </w:r>
      <w:r>
        <w:rPr>
          <w:lang w:val="fr-FR"/>
        </w:rPr>
        <w:t>estime pas nécessaire de se pencher sur la question de savoir si elle doit tirer du comportement du requérant la conclusion que sa requête est abusive, les allégations de l</w:t>
      </w:r>
      <w:r w:rsidR="00DC51BC">
        <w:rPr>
          <w:lang w:val="fr-FR"/>
        </w:rPr>
        <w:t>’</w:t>
      </w:r>
      <w:r>
        <w:rPr>
          <w:lang w:val="fr-FR"/>
        </w:rPr>
        <w:t>intéressé étant de toute manière irrecevables pour les raisons suivantes.</w:t>
      </w:r>
    </w:p>
    <w:p w:rsidR="009E78BF" w:rsidRPr="0047067F" w:rsidRDefault="009E78BF" w:rsidP="00195DFB">
      <w:pPr>
        <w:pStyle w:val="ECHRPara"/>
        <w:rPr>
          <w:lang w:val="fr-FR"/>
        </w:rPr>
      </w:pPr>
      <w:r>
        <w:rPr>
          <w:lang w:val="fr-FR"/>
        </w:rPr>
        <w:t xml:space="preserve">31.  La Cour rappelle </w:t>
      </w:r>
      <w:r w:rsidRPr="0047067F">
        <w:rPr>
          <w:lang w:val="fr-FR"/>
        </w:rPr>
        <w:t>qu</w:t>
      </w:r>
      <w:r w:rsidR="00DC51BC">
        <w:rPr>
          <w:lang w:val="fr-FR"/>
        </w:rPr>
        <w:t>’</w:t>
      </w:r>
      <w:r w:rsidRPr="0047067F">
        <w:rPr>
          <w:lang w:val="fr-FR"/>
        </w:rPr>
        <w:t>aux termes de l</w:t>
      </w:r>
      <w:r w:rsidR="00DC51BC">
        <w:rPr>
          <w:lang w:val="fr-FR"/>
        </w:rPr>
        <w:t>’</w:t>
      </w:r>
      <w:r w:rsidRPr="0047067F">
        <w:rPr>
          <w:lang w:val="fr-FR"/>
        </w:rPr>
        <w:t>article 35 § 1 de la Convention, elle ne peut être saisie qu</w:t>
      </w:r>
      <w:r w:rsidR="00DC51BC">
        <w:rPr>
          <w:lang w:val="fr-FR"/>
        </w:rPr>
        <w:t>’</w:t>
      </w:r>
      <w:r w:rsidRPr="0047067F">
        <w:rPr>
          <w:lang w:val="fr-FR"/>
        </w:rPr>
        <w:t>après l</w:t>
      </w:r>
      <w:r w:rsidR="00DC51BC">
        <w:rPr>
          <w:lang w:val="fr-FR"/>
        </w:rPr>
        <w:t>’</w:t>
      </w:r>
      <w:r w:rsidRPr="0047067F">
        <w:rPr>
          <w:lang w:val="fr-FR"/>
        </w:rPr>
        <w:t>épuisement des voies de recours internes. La finalité de cette règle est de ménager aux États contractants l</w:t>
      </w:r>
      <w:r w:rsidR="00DC51BC">
        <w:rPr>
          <w:lang w:val="fr-FR"/>
        </w:rPr>
        <w:t>’</w:t>
      </w:r>
      <w:r w:rsidRPr="0047067F">
        <w:rPr>
          <w:lang w:val="fr-FR"/>
        </w:rPr>
        <w:t>occasion de prévenir ou de redresser les violations alléguées contre eux avant que la Cour n</w:t>
      </w:r>
      <w:r w:rsidR="00DC51BC">
        <w:rPr>
          <w:lang w:val="fr-FR"/>
        </w:rPr>
        <w:t>’</w:t>
      </w:r>
      <w:r w:rsidRPr="0047067F">
        <w:rPr>
          <w:lang w:val="fr-FR"/>
        </w:rPr>
        <w:t>en soit saisie (voir, parmi d</w:t>
      </w:r>
      <w:r w:rsidR="00DC51BC">
        <w:rPr>
          <w:lang w:val="fr-FR"/>
        </w:rPr>
        <w:t>’</w:t>
      </w:r>
      <w:r w:rsidRPr="0047067F">
        <w:rPr>
          <w:lang w:val="fr-FR"/>
        </w:rPr>
        <w:t>autres,</w:t>
      </w:r>
      <w:r w:rsidRPr="0047067F">
        <w:rPr>
          <w:i/>
          <w:lang w:val="fr-FR"/>
        </w:rPr>
        <w:t xml:space="preserve"> Mifsud c.</w:t>
      </w:r>
      <w:r w:rsidR="00901DAE">
        <w:rPr>
          <w:i/>
          <w:lang w:val="fr-FR"/>
        </w:rPr>
        <w:t xml:space="preserve"> </w:t>
      </w:r>
      <w:r w:rsidRPr="0047067F">
        <w:rPr>
          <w:i/>
          <w:lang w:val="fr-FR"/>
        </w:rPr>
        <w:t>France</w:t>
      </w:r>
      <w:r w:rsidRPr="0047067F">
        <w:rPr>
          <w:lang w:val="fr-FR"/>
        </w:rPr>
        <w:t xml:space="preserve"> (déc.) [GC], n</w:t>
      </w:r>
      <w:r w:rsidRPr="0047067F">
        <w:rPr>
          <w:vertAlign w:val="superscript"/>
          <w:lang w:val="fr-FR"/>
        </w:rPr>
        <w:t>o</w:t>
      </w:r>
      <w:r w:rsidRPr="0047067F">
        <w:rPr>
          <w:lang w:val="fr-FR"/>
        </w:rPr>
        <w:t> 57220/00, § 15, CEDH 2002-VIII).</w:t>
      </w:r>
    </w:p>
    <w:p w:rsidR="009E78BF" w:rsidRDefault="009E78BF" w:rsidP="00195DFB">
      <w:pPr>
        <w:pStyle w:val="ECHRPara"/>
        <w:rPr>
          <w:lang w:val="fr-FR"/>
        </w:rPr>
      </w:pPr>
      <w:r>
        <w:rPr>
          <w:lang w:val="fr-FR"/>
        </w:rPr>
        <w:t>32.  </w:t>
      </w:r>
      <w:r w:rsidRPr="0047067F">
        <w:rPr>
          <w:lang w:val="fr-FR"/>
        </w:rPr>
        <w:t>Les principes généraux relatifs à la règle de l</w:t>
      </w:r>
      <w:r w:rsidR="00DC51BC">
        <w:rPr>
          <w:lang w:val="fr-FR"/>
        </w:rPr>
        <w:t>’</w:t>
      </w:r>
      <w:r w:rsidRPr="0047067F">
        <w:rPr>
          <w:lang w:val="fr-FR"/>
        </w:rPr>
        <w:t>épuisement des voies de recours internes se trouvent exposés dans l</w:t>
      </w:r>
      <w:r w:rsidR="00DC51BC">
        <w:rPr>
          <w:lang w:val="fr-FR"/>
        </w:rPr>
        <w:t>’</w:t>
      </w:r>
      <w:r w:rsidRPr="0047067F">
        <w:rPr>
          <w:lang w:val="fr-FR"/>
        </w:rPr>
        <w:t xml:space="preserve">arrêt </w:t>
      </w:r>
      <w:r w:rsidRPr="0047067F">
        <w:rPr>
          <w:i/>
          <w:lang w:val="fr-FR"/>
        </w:rPr>
        <w:t>Vučković et autres c. Serbie</w:t>
      </w:r>
      <w:r w:rsidRPr="0047067F">
        <w:rPr>
          <w:lang w:val="fr-FR"/>
        </w:rPr>
        <w:t xml:space="preserve"> ([GC], n</w:t>
      </w:r>
      <w:r w:rsidRPr="0047067F">
        <w:rPr>
          <w:vertAlign w:val="superscript"/>
          <w:lang w:val="fr-FR"/>
        </w:rPr>
        <w:t>os</w:t>
      </w:r>
      <w:r w:rsidRPr="0047067F">
        <w:rPr>
          <w:lang w:val="fr-FR"/>
        </w:rPr>
        <w:t xml:space="preserve"> 17153/11 et autres, §§ 69-77, 25 mars 2014). La Cour rappelle que l</w:t>
      </w:r>
      <w:r w:rsidR="00DC51BC">
        <w:rPr>
          <w:lang w:val="fr-FR"/>
        </w:rPr>
        <w:t>’</w:t>
      </w:r>
      <w:r w:rsidRPr="0047067F">
        <w:rPr>
          <w:lang w:val="fr-FR"/>
        </w:rPr>
        <w:t>article 35 §</w:t>
      </w:r>
      <w:r w:rsidR="00901DAE">
        <w:rPr>
          <w:lang w:val="fr-FR"/>
        </w:rPr>
        <w:t xml:space="preserve"> </w:t>
      </w:r>
      <w:r w:rsidRPr="0047067F">
        <w:rPr>
          <w:lang w:val="fr-FR"/>
        </w:rPr>
        <w:t>1 de la Convention ne prescrit que l</w:t>
      </w:r>
      <w:r w:rsidR="00DC51BC">
        <w:rPr>
          <w:lang w:val="fr-FR"/>
        </w:rPr>
        <w:t>’</w:t>
      </w:r>
      <w:r w:rsidRPr="0047067F">
        <w:rPr>
          <w:lang w:val="fr-FR"/>
        </w:rPr>
        <w:t>épuisement des recours à la fois relatifs aux violations incriminées, disponibles et adéquats. Un recours est effectif lorsqu</w:t>
      </w:r>
      <w:r w:rsidR="00DC51BC">
        <w:rPr>
          <w:lang w:val="fr-FR"/>
        </w:rPr>
        <w:t>’</w:t>
      </w:r>
      <w:r w:rsidRPr="0047067F">
        <w:rPr>
          <w:lang w:val="fr-FR"/>
        </w:rPr>
        <w:t>il est disponible tant en théorie qu</w:t>
      </w:r>
      <w:r w:rsidR="00DC51BC">
        <w:rPr>
          <w:lang w:val="fr-FR"/>
        </w:rPr>
        <w:t>’</w:t>
      </w:r>
      <w:r w:rsidRPr="0047067F">
        <w:rPr>
          <w:lang w:val="fr-FR"/>
        </w:rPr>
        <w:t>en pratique à l</w:t>
      </w:r>
      <w:r w:rsidR="00DC51BC">
        <w:rPr>
          <w:lang w:val="fr-FR"/>
        </w:rPr>
        <w:t>’</w:t>
      </w:r>
      <w:r w:rsidRPr="0047067F">
        <w:rPr>
          <w:lang w:val="fr-FR"/>
        </w:rPr>
        <w:t>époque des faits, c</w:t>
      </w:r>
      <w:r w:rsidR="00DC51BC">
        <w:rPr>
          <w:lang w:val="fr-FR"/>
        </w:rPr>
        <w:t>’</w:t>
      </w:r>
      <w:r w:rsidRPr="0047067F">
        <w:rPr>
          <w:lang w:val="fr-FR"/>
        </w:rPr>
        <w:t>est-à-dire lorsqu</w:t>
      </w:r>
      <w:r w:rsidR="00DC51BC">
        <w:rPr>
          <w:lang w:val="fr-FR"/>
        </w:rPr>
        <w:t>’</w:t>
      </w:r>
      <w:r w:rsidRPr="0047067F">
        <w:rPr>
          <w:lang w:val="fr-FR"/>
        </w:rPr>
        <w:t>il est accessible, susceptible d</w:t>
      </w:r>
      <w:r w:rsidR="00DC51BC">
        <w:rPr>
          <w:lang w:val="fr-FR"/>
        </w:rPr>
        <w:t>’</w:t>
      </w:r>
      <w:r w:rsidRPr="0047067F">
        <w:rPr>
          <w:lang w:val="fr-FR"/>
        </w:rPr>
        <w:t>offrir au requérant le redressement de ses griefs et présente des perspectives raisonnables de succès (</w:t>
      </w:r>
      <w:r w:rsidRPr="0047067F">
        <w:rPr>
          <w:i/>
          <w:lang w:val="fr-FR"/>
        </w:rPr>
        <w:t>Akdivar et autres c.</w:t>
      </w:r>
      <w:r w:rsidR="00901DAE">
        <w:rPr>
          <w:i/>
          <w:lang w:val="fr-FR"/>
        </w:rPr>
        <w:t xml:space="preserve"> </w:t>
      </w:r>
      <w:r w:rsidRPr="0047067F">
        <w:rPr>
          <w:i/>
          <w:lang w:val="fr-FR"/>
        </w:rPr>
        <w:t>Turquie</w:t>
      </w:r>
      <w:r w:rsidRPr="0047067F">
        <w:rPr>
          <w:lang w:val="fr-FR"/>
        </w:rPr>
        <w:t xml:space="preserve">, 16 septembre 1996, § 68, </w:t>
      </w:r>
      <w:r w:rsidRPr="0047067F">
        <w:rPr>
          <w:i/>
          <w:lang w:val="fr-FR"/>
        </w:rPr>
        <w:t>Recueil des arrêts et décisions</w:t>
      </w:r>
      <w:r w:rsidRPr="0047067F">
        <w:rPr>
          <w:lang w:val="fr-FR"/>
        </w:rPr>
        <w:t xml:space="preserve"> 1996</w:t>
      </w:r>
      <w:r>
        <w:rPr>
          <w:lang w:val="fr-FR"/>
        </w:rPr>
        <w:t>-</w:t>
      </w:r>
      <w:r w:rsidRPr="0047067F">
        <w:rPr>
          <w:lang w:val="fr-FR"/>
        </w:rPr>
        <w:t xml:space="preserve">IV, et </w:t>
      </w:r>
      <w:r w:rsidRPr="0047067F">
        <w:rPr>
          <w:i/>
          <w:snapToGrid w:val="0"/>
          <w:lang w:val="fr-FR"/>
        </w:rPr>
        <w:t>Demopoulos et autres c.</w:t>
      </w:r>
      <w:r w:rsidR="00901DAE">
        <w:rPr>
          <w:i/>
          <w:snapToGrid w:val="0"/>
          <w:lang w:val="fr-FR"/>
        </w:rPr>
        <w:t xml:space="preserve"> </w:t>
      </w:r>
      <w:r w:rsidRPr="0047067F">
        <w:rPr>
          <w:i/>
          <w:snapToGrid w:val="0"/>
          <w:lang w:val="fr-FR"/>
        </w:rPr>
        <w:t xml:space="preserve">Turquie </w:t>
      </w:r>
      <w:r w:rsidRPr="0047067F">
        <w:rPr>
          <w:snapToGrid w:val="0"/>
          <w:lang w:val="fr-FR"/>
        </w:rPr>
        <w:t>(déc.) [GC], n</w:t>
      </w:r>
      <w:r w:rsidRPr="0047067F">
        <w:rPr>
          <w:snapToGrid w:val="0"/>
          <w:vertAlign w:val="superscript"/>
          <w:lang w:val="fr-FR"/>
        </w:rPr>
        <w:t>os</w:t>
      </w:r>
      <w:r w:rsidRPr="0047067F">
        <w:rPr>
          <w:snapToGrid w:val="0"/>
          <w:lang w:val="fr-FR"/>
        </w:rPr>
        <w:t xml:space="preserve"> 46113/99, 3843/02, 13751/02, 13466/03, 10200/04, 14163/04, 19993/04 et 21819/04</w:t>
      </w:r>
      <w:r w:rsidRPr="0047067F">
        <w:rPr>
          <w:lang w:val="fr-FR"/>
        </w:rPr>
        <w:t>, § 70, CEDH 2010).</w:t>
      </w:r>
    </w:p>
    <w:p w:rsidR="009E78BF" w:rsidRDefault="009E78BF" w:rsidP="00195DFB">
      <w:pPr>
        <w:pStyle w:val="ECHRPara"/>
        <w:rPr>
          <w:lang w:val="fr-FR"/>
        </w:rPr>
      </w:pPr>
      <w:r>
        <w:rPr>
          <w:lang w:val="fr-FR"/>
        </w:rPr>
        <w:t>33.  Pour ce qui est de l</w:t>
      </w:r>
      <w:r w:rsidR="00DC51BC">
        <w:rPr>
          <w:lang w:val="fr-FR"/>
        </w:rPr>
        <w:t>’</w:t>
      </w:r>
      <w:r>
        <w:rPr>
          <w:lang w:val="fr-FR"/>
        </w:rPr>
        <w:t xml:space="preserve">argument du requérant, selon lequel </w:t>
      </w:r>
      <w:r w:rsidRPr="008C2D4D">
        <w:rPr>
          <w:lang w:val="fr-FR"/>
        </w:rPr>
        <w:t>l</w:t>
      </w:r>
      <w:r w:rsidR="00DC51BC">
        <w:rPr>
          <w:lang w:val="fr-FR"/>
        </w:rPr>
        <w:t>’</w:t>
      </w:r>
      <w:r w:rsidRPr="008C2D4D">
        <w:rPr>
          <w:lang w:val="fr-FR"/>
        </w:rPr>
        <w:t>affaire pendante devant la cour d</w:t>
      </w:r>
      <w:r w:rsidR="00DC51BC">
        <w:rPr>
          <w:lang w:val="fr-FR"/>
        </w:rPr>
        <w:t>’</w:t>
      </w:r>
      <w:r w:rsidRPr="008C2D4D">
        <w:rPr>
          <w:lang w:val="fr-FR"/>
        </w:rPr>
        <w:t>appel de Rome ne concerne</w:t>
      </w:r>
      <w:r>
        <w:rPr>
          <w:lang w:val="fr-FR"/>
        </w:rPr>
        <w:t>rait</w:t>
      </w:r>
      <w:r w:rsidRPr="008C2D4D">
        <w:rPr>
          <w:lang w:val="fr-FR"/>
        </w:rPr>
        <w:t xml:space="preserve"> pas l</w:t>
      </w:r>
      <w:r w:rsidR="00DC51BC">
        <w:rPr>
          <w:lang w:val="fr-FR"/>
        </w:rPr>
        <w:t>’</w:t>
      </w:r>
      <w:r w:rsidRPr="008C2D4D">
        <w:rPr>
          <w:lang w:val="fr-FR"/>
        </w:rPr>
        <w:t>objet de la présente requête</w:t>
      </w:r>
      <w:r>
        <w:rPr>
          <w:lang w:val="fr-FR"/>
        </w:rPr>
        <w:t xml:space="preserve"> (paragraphe 28 ci-dessus), la Cour relève que dans le cadre de son action civile en dédommagement, dirigée, entre autres, à l</w:t>
      </w:r>
      <w:r w:rsidR="00DC51BC">
        <w:rPr>
          <w:lang w:val="fr-FR"/>
        </w:rPr>
        <w:t>’</w:t>
      </w:r>
      <w:r>
        <w:rPr>
          <w:lang w:val="fr-FR"/>
        </w:rPr>
        <w:t xml:space="preserve">encontre </w:t>
      </w:r>
      <w:r>
        <w:rPr>
          <w:lang w:val="fr-FR"/>
        </w:rPr>
        <w:lastRenderedPageBreak/>
        <w:t>de</w:t>
      </w:r>
      <w:r>
        <w:rPr>
          <w:snapToGrid w:val="0"/>
          <w:lang w:val="fr-FR"/>
        </w:rPr>
        <w:t xml:space="preserve"> la commission parlementaire, de la Chambre des Députés, du Sénat et du journal </w:t>
      </w:r>
      <w:r>
        <w:rPr>
          <w:i/>
          <w:snapToGrid w:val="0"/>
          <w:lang w:val="fr-FR"/>
        </w:rPr>
        <w:t>Calabria Ora</w:t>
      </w:r>
      <w:r>
        <w:rPr>
          <w:snapToGrid w:val="0"/>
          <w:lang w:val="fr-FR"/>
        </w:rPr>
        <w:t>, l</w:t>
      </w:r>
      <w:r w:rsidR="00DC51BC">
        <w:rPr>
          <w:snapToGrid w:val="0"/>
          <w:lang w:val="fr-FR"/>
        </w:rPr>
        <w:t>’</w:t>
      </w:r>
      <w:r>
        <w:rPr>
          <w:snapToGrid w:val="0"/>
          <w:lang w:val="fr-FR"/>
        </w:rPr>
        <w:t xml:space="preserve">intéressé a allégué que les informations données par L. lors des séances à huis clos étaient </w:t>
      </w:r>
      <w:r w:rsidRPr="008C2D4D">
        <w:rPr>
          <w:lang w:val="fr-FR"/>
        </w:rPr>
        <w:t>fausses</w:t>
      </w:r>
      <w:r>
        <w:rPr>
          <w:lang w:val="fr-FR"/>
        </w:rPr>
        <w:t xml:space="preserve"> ou non dûment prouvées, que le contenu de ces séances était couvert par le secret et que la divulgation des informations litigieuses dans le rapport de la commission parlementaire et sur la presse </w:t>
      </w:r>
      <w:r w:rsidRPr="008C2D4D">
        <w:rPr>
          <w:lang w:val="fr-FR"/>
        </w:rPr>
        <w:t>avait terni sa réputation et celle de ses entreprises</w:t>
      </w:r>
      <w:r>
        <w:rPr>
          <w:lang w:val="fr-FR"/>
        </w:rPr>
        <w:t xml:space="preserve"> (paragraphe 16 ci-dessus). Ces allégations coïncident en large partie avec le grief soulevé devant la Cour, concernant l</w:t>
      </w:r>
      <w:r w:rsidR="00DC51BC">
        <w:rPr>
          <w:lang w:val="fr-FR"/>
        </w:rPr>
        <w:t>’</w:t>
      </w:r>
      <w:r>
        <w:rPr>
          <w:lang w:val="fr-FR"/>
        </w:rPr>
        <w:t xml:space="preserve">atteinte alléguée que </w:t>
      </w:r>
      <w:r w:rsidRPr="008C2D4D">
        <w:rPr>
          <w:lang w:val="fr-FR"/>
        </w:rPr>
        <w:t xml:space="preserve">la divulgation dans la presse des compte rendus des séances de la </w:t>
      </w:r>
      <w:r w:rsidRPr="005A5BD9">
        <w:rPr>
          <w:lang w:val="fr-FR"/>
        </w:rPr>
        <w:t>commission parlementaire</w:t>
      </w:r>
      <w:r w:rsidRPr="008C2D4D">
        <w:rPr>
          <w:lang w:val="fr-FR"/>
        </w:rPr>
        <w:t xml:space="preserve"> des 4 décembre 2007 et 5</w:t>
      </w:r>
      <w:r w:rsidR="002C2969">
        <w:rPr>
          <w:lang w:val="fr-FR"/>
        </w:rPr>
        <w:t xml:space="preserve"> </w:t>
      </w:r>
      <w:r w:rsidRPr="008C2D4D">
        <w:rPr>
          <w:lang w:val="fr-FR"/>
        </w:rPr>
        <w:t>février 2008 a</w:t>
      </w:r>
      <w:r>
        <w:rPr>
          <w:lang w:val="fr-FR"/>
        </w:rPr>
        <w:t>urait porté</w:t>
      </w:r>
      <w:r w:rsidRPr="008C2D4D">
        <w:rPr>
          <w:lang w:val="fr-FR"/>
        </w:rPr>
        <w:t xml:space="preserve"> </w:t>
      </w:r>
      <w:r>
        <w:rPr>
          <w:lang w:val="fr-FR"/>
        </w:rPr>
        <w:t xml:space="preserve">au </w:t>
      </w:r>
      <w:r w:rsidRPr="008C2D4D">
        <w:rPr>
          <w:lang w:val="fr-FR"/>
        </w:rPr>
        <w:t xml:space="preserve">droit au respect de </w:t>
      </w:r>
      <w:r>
        <w:rPr>
          <w:lang w:val="fr-FR"/>
        </w:rPr>
        <w:t>l</w:t>
      </w:r>
      <w:r w:rsidRPr="008C2D4D">
        <w:rPr>
          <w:lang w:val="fr-FR"/>
        </w:rPr>
        <w:t>a vie privée et familiale</w:t>
      </w:r>
      <w:r>
        <w:rPr>
          <w:lang w:val="fr-FR"/>
        </w:rPr>
        <w:t xml:space="preserve"> du requérant (paragraphe 26 ci-dessus). </w:t>
      </w:r>
      <w:r>
        <w:rPr>
          <w:rFonts w:cstheme="minorHAnsi"/>
          <w:lang w:val="fr-FR"/>
        </w:rPr>
        <w:t>À</w:t>
      </w:r>
      <w:r>
        <w:rPr>
          <w:lang w:val="fr-FR"/>
        </w:rPr>
        <w:t xml:space="preserve"> cet égard, il convient de rappeler que </w:t>
      </w:r>
      <w:r w:rsidRPr="00F834F4">
        <w:rPr>
          <w:rFonts w:ascii="Times New Roman" w:hAnsi="Times New Roman" w:cs="Times New Roman"/>
          <w:szCs w:val="24"/>
          <w:lang w:val="fr-FR"/>
        </w:rPr>
        <w:t>le droit à la protection de la réputation est un droit qui relève, en tant qu</w:t>
      </w:r>
      <w:r w:rsidR="00DC51BC">
        <w:rPr>
          <w:rFonts w:ascii="Times New Roman" w:hAnsi="Times New Roman" w:cs="Times New Roman"/>
          <w:szCs w:val="24"/>
          <w:lang w:val="fr-FR"/>
        </w:rPr>
        <w:t>’</w:t>
      </w:r>
      <w:r w:rsidRPr="00F834F4">
        <w:rPr>
          <w:rFonts w:ascii="Times New Roman" w:hAnsi="Times New Roman" w:cs="Times New Roman"/>
          <w:szCs w:val="24"/>
          <w:lang w:val="fr-FR"/>
        </w:rPr>
        <w:t>élément de la vie privée, de l</w:t>
      </w:r>
      <w:r w:rsidR="00DC51BC">
        <w:rPr>
          <w:rFonts w:ascii="Times New Roman" w:hAnsi="Times New Roman" w:cs="Times New Roman"/>
          <w:szCs w:val="24"/>
          <w:lang w:val="fr-FR"/>
        </w:rPr>
        <w:t>’</w:t>
      </w:r>
      <w:r w:rsidRPr="00F834F4">
        <w:rPr>
          <w:rFonts w:ascii="Times New Roman" w:hAnsi="Times New Roman" w:cs="Times New Roman"/>
          <w:szCs w:val="24"/>
          <w:lang w:val="fr-FR"/>
        </w:rPr>
        <w:t>article 8 de la Convention (</w:t>
      </w:r>
      <w:r w:rsidRPr="00F834F4">
        <w:rPr>
          <w:rFonts w:ascii="Times New Roman" w:hAnsi="Times New Roman" w:cs="Times New Roman"/>
          <w:i/>
          <w:szCs w:val="24"/>
          <w:lang w:val="fr-FR"/>
        </w:rPr>
        <w:t>Polanco Torres et Movilla Polanco c. Espagne</w:t>
      </w:r>
      <w:r w:rsidRPr="00F834F4">
        <w:rPr>
          <w:rFonts w:ascii="Times New Roman" w:hAnsi="Times New Roman" w:cs="Times New Roman"/>
          <w:szCs w:val="24"/>
          <w:lang w:val="fr-FR"/>
        </w:rPr>
        <w:t>, n</w:t>
      </w:r>
      <w:r w:rsidRPr="00F834F4">
        <w:rPr>
          <w:rFonts w:ascii="Times New Roman" w:hAnsi="Times New Roman" w:cs="Times New Roman"/>
          <w:szCs w:val="24"/>
          <w:vertAlign w:val="superscript"/>
          <w:lang w:val="fr-FR"/>
        </w:rPr>
        <w:t>o</w:t>
      </w:r>
      <w:r w:rsidRPr="00F834F4">
        <w:rPr>
          <w:rFonts w:ascii="Times New Roman" w:hAnsi="Times New Roman" w:cs="Times New Roman"/>
          <w:szCs w:val="24"/>
          <w:lang w:val="fr-FR"/>
        </w:rPr>
        <w:t xml:space="preserve"> 34147/06</w:t>
      </w:r>
      <w:r w:rsidRPr="00F834F4">
        <w:rPr>
          <w:rFonts w:ascii="Times New Roman" w:hAnsi="Times New Roman" w:cs="Times New Roman"/>
          <w:snapToGrid w:val="0"/>
          <w:szCs w:val="24"/>
          <w:lang w:val="fr-FR"/>
        </w:rPr>
        <w:t>, §</w:t>
      </w:r>
      <w:r w:rsidR="002C2969">
        <w:rPr>
          <w:rFonts w:ascii="Times New Roman" w:hAnsi="Times New Roman" w:cs="Times New Roman"/>
          <w:snapToGrid w:val="0"/>
          <w:szCs w:val="24"/>
          <w:lang w:val="fr-FR"/>
        </w:rPr>
        <w:t xml:space="preserve"> </w:t>
      </w:r>
      <w:r w:rsidRPr="00F834F4">
        <w:rPr>
          <w:rFonts w:ascii="Times New Roman" w:hAnsi="Times New Roman" w:cs="Times New Roman"/>
          <w:snapToGrid w:val="0"/>
          <w:szCs w:val="24"/>
          <w:lang w:val="fr-FR"/>
        </w:rPr>
        <w:t>40, 21</w:t>
      </w:r>
      <w:r w:rsidR="002C2969">
        <w:rPr>
          <w:rFonts w:ascii="Times New Roman" w:hAnsi="Times New Roman" w:cs="Times New Roman"/>
          <w:snapToGrid w:val="0"/>
          <w:szCs w:val="24"/>
          <w:lang w:val="fr-FR"/>
        </w:rPr>
        <w:t xml:space="preserve"> </w:t>
      </w:r>
      <w:r w:rsidRPr="00F834F4">
        <w:rPr>
          <w:rFonts w:ascii="Times New Roman" w:hAnsi="Times New Roman" w:cs="Times New Roman"/>
          <w:szCs w:val="24"/>
          <w:lang w:val="fr-FR"/>
        </w:rPr>
        <w:t>septembre</w:t>
      </w:r>
      <w:r w:rsidRPr="00F834F4">
        <w:rPr>
          <w:rFonts w:ascii="Times New Roman" w:hAnsi="Times New Roman" w:cs="Times New Roman"/>
          <w:snapToGrid w:val="0"/>
          <w:szCs w:val="24"/>
          <w:lang w:val="fr-FR"/>
        </w:rPr>
        <w:t xml:space="preserve"> 2010</w:t>
      </w:r>
      <w:r>
        <w:rPr>
          <w:rFonts w:ascii="Times New Roman" w:hAnsi="Times New Roman" w:cs="Times New Roman"/>
          <w:snapToGrid w:val="0"/>
          <w:szCs w:val="24"/>
          <w:lang w:val="fr-FR"/>
        </w:rPr>
        <w:t xml:space="preserve">, et </w:t>
      </w:r>
      <w:r w:rsidRPr="00F834F4">
        <w:rPr>
          <w:rFonts w:ascii="Times New Roman" w:hAnsi="Times New Roman" w:cs="Times New Roman"/>
          <w:i/>
          <w:szCs w:val="24"/>
          <w:lang w:val="fr-FR"/>
        </w:rPr>
        <w:t>Axel Springer AG c.</w:t>
      </w:r>
      <w:r w:rsidR="002C2969">
        <w:rPr>
          <w:rFonts w:ascii="Times New Roman" w:hAnsi="Times New Roman" w:cs="Times New Roman"/>
          <w:i/>
          <w:szCs w:val="24"/>
          <w:lang w:val="fr-FR"/>
        </w:rPr>
        <w:t xml:space="preserve"> </w:t>
      </w:r>
      <w:r w:rsidRPr="00F834F4">
        <w:rPr>
          <w:rFonts w:ascii="Times New Roman" w:hAnsi="Times New Roman" w:cs="Times New Roman"/>
          <w:i/>
          <w:szCs w:val="24"/>
          <w:lang w:val="fr-FR"/>
        </w:rPr>
        <w:t xml:space="preserve">Allemagne </w:t>
      </w:r>
      <w:r w:rsidRPr="00F834F4">
        <w:rPr>
          <w:rFonts w:ascii="Times New Roman" w:hAnsi="Times New Roman" w:cs="Times New Roman"/>
          <w:szCs w:val="24"/>
          <w:lang w:val="fr-FR"/>
        </w:rPr>
        <w:t>[GC], n</w:t>
      </w:r>
      <w:r w:rsidRPr="00F834F4">
        <w:rPr>
          <w:rFonts w:ascii="Times New Roman" w:hAnsi="Times New Roman" w:cs="Times New Roman"/>
          <w:szCs w:val="24"/>
          <w:vertAlign w:val="superscript"/>
          <w:lang w:val="fr-FR"/>
        </w:rPr>
        <w:t>o</w:t>
      </w:r>
      <w:r w:rsidR="002C2969">
        <w:rPr>
          <w:rFonts w:ascii="Times New Roman" w:hAnsi="Times New Roman" w:cs="Times New Roman"/>
          <w:szCs w:val="24"/>
          <w:vertAlign w:val="superscript"/>
          <w:lang w:val="fr-FR"/>
        </w:rPr>
        <w:t xml:space="preserve"> </w:t>
      </w:r>
      <w:r w:rsidRPr="00F834F4">
        <w:rPr>
          <w:rFonts w:ascii="Times New Roman" w:hAnsi="Times New Roman" w:cs="Times New Roman"/>
          <w:szCs w:val="24"/>
          <w:lang w:val="fr-FR"/>
        </w:rPr>
        <w:t>39954/08, § 83, 7 février 2012</w:t>
      </w:r>
      <w:r w:rsidRPr="00F834F4">
        <w:rPr>
          <w:rFonts w:ascii="Times New Roman" w:hAnsi="Times New Roman" w:cs="Times New Roman"/>
          <w:snapToGrid w:val="0"/>
          <w:szCs w:val="24"/>
          <w:lang w:val="fr-FR"/>
        </w:rPr>
        <w:t>)</w:t>
      </w:r>
      <w:r>
        <w:rPr>
          <w:lang w:val="fr-FR"/>
        </w:rPr>
        <w:t xml:space="preserve"> Dans ces circonstances, la Cour ne saurait souscrire à l</w:t>
      </w:r>
      <w:r w:rsidR="00DC51BC">
        <w:rPr>
          <w:lang w:val="fr-FR"/>
        </w:rPr>
        <w:t>’</w:t>
      </w:r>
      <w:r>
        <w:rPr>
          <w:lang w:val="fr-FR"/>
        </w:rPr>
        <w:t>argument de l</w:t>
      </w:r>
      <w:r w:rsidR="00DC51BC">
        <w:rPr>
          <w:lang w:val="fr-FR"/>
        </w:rPr>
        <w:t>’</w:t>
      </w:r>
      <w:r>
        <w:rPr>
          <w:lang w:val="fr-FR"/>
        </w:rPr>
        <w:t>intéressé visant à faire valoir une prétendue différence entre l</w:t>
      </w:r>
      <w:r w:rsidR="00DC51BC">
        <w:rPr>
          <w:lang w:val="fr-FR"/>
        </w:rPr>
        <w:t>’</w:t>
      </w:r>
      <w:r>
        <w:rPr>
          <w:lang w:val="fr-FR"/>
        </w:rPr>
        <w:t xml:space="preserve">objet des procédures interne et européenne. Elle parvient donc à la conclusion que le </w:t>
      </w:r>
      <w:r w:rsidRPr="0047067F">
        <w:rPr>
          <w:lang w:val="fr-FR"/>
        </w:rPr>
        <w:t xml:space="preserve">recours </w:t>
      </w:r>
      <w:r>
        <w:rPr>
          <w:lang w:val="fr-FR"/>
        </w:rPr>
        <w:t xml:space="preserve">devant le tribunal de Rome était </w:t>
      </w:r>
      <w:r w:rsidRPr="0047067F">
        <w:rPr>
          <w:lang w:val="fr-FR"/>
        </w:rPr>
        <w:t xml:space="preserve">relatif </w:t>
      </w:r>
      <w:r>
        <w:rPr>
          <w:lang w:val="fr-FR"/>
        </w:rPr>
        <w:t>à la</w:t>
      </w:r>
      <w:r w:rsidRPr="0047067F">
        <w:rPr>
          <w:lang w:val="fr-FR"/>
        </w:rPr>
        <w:t xml:space="preserve"> violation incriminée</w:t>
      </w:r>
      <w:r>
        <w:rPr>
          <w:lang w:val="fr-FR"/>
        </w:rPr>
        <w:t>.</w:t>
      </w:r>
    </w:p>
    <w:p w:rsidR="009E78BF" w:rsidRPr="00800C63" w:rsidRDefault="009E78BF" w:rsidP="00195DFB">
      <w:pPr>
        <w:pStyle w:val="ECHRPara"/>
        <w:rPr>
          <w:lang w:val="fr-FR"/>
        </w:rPr>
      </w:pPr>
      <w:r>
        <w:rPr>
          <w:lang w:val="fr-FR"/>
        </w:rPr>
        <w:t>34.  La Cour observe ensuite que le requérant a saisi les autorités judiciaires civiles d</w:t>
      </w:r>
      <w:r w:rsidR="00DC51BC">
        <w:rPr>
          <w:lang w:val="fr-FR"/>
        </w:rPr>
        <w:t>’</w:t>
      </w:r>
      <w:r>
        <w:rPr>
          <w:lang w:val="fr-FR"/>
        </w:rPr>
        <w:t xml:space="preserve">un recours en dédommagement. Dans le cadre de leur examen de ce recours, les tribunaux italiens sont appelés à déterminer si la conduite de la commission parlementaire et/ou du journal </w:t>
      </w:r>
      <w:r>
        <w:rPr>
          <w:i/>
          <w:lang w:val="fr-FR"/>
        </w:rPr>
        <w:t>Calabria Ora</w:t>
      </w:r>
      <w:r>
        <w:rPr>
          <w:lang w:val="fr-FR"/>
        </w:rPr>
        <w:t xml:space="preserve"> a été illégitime et/ou fautive, si elle a porté atteinte aux droits du requérant et si une réparation pécuniaire est due à ce dernier. Le recours tenté par l</w:t>
      </w:r>
      <w:r w:rsidR="00DC51BC">
        <w:rPr>
          <w:lang w:val="fr-FR"/>
        </w:rPr>
        <w:t>’</w:t>
      </w:r>
      <w:r>
        <w:rPr>
          <w:lang w:val="fr-FR"/>
        </w:rPr>
        <w:t>intéressé est donc susceptible de lui offrir le redressement de ses griefs.</w:t>
      </w:r>
      <w:r w:rsidRPr="00800C63">
        <w:rPr>
          <w:lang w:val="fr-FR"/>
        </w:rPr>
        <w:t xml:space="preserve"> Au demeurant, le requérant, en exerçant une action en dédommagement, démontre qu</w:t>
      </w:r>
      <w:r w:rsidR="00DC51BC">
        <w:rPr>
          <w:lang w:val="fr-FR"/>
        </w:rPr>
        <w:t>’</w:t>
      </w:r>
      <w:r w:rsidRPr="00800C63">
        <w:rPr>
          <w:lang w:val="fr-FR"/>
        </w:rPr>
        <w:t>il estimait disposer a priori, contrairement à ses allégations, d</w:t>
      </w:r>
      <w:r w:rsidR="00DC51BC">
        <w:rPr>
          <w:lang w:val="fr-FR"/>
        </w:rPr>
        <w:t>’</w:t>
      </w:r>
      <w:r w:rsidRPr="00800C63">
        <w:rPr>
          <w:lang w:val="fr-FR"/>
        </w:rPr>
        <w:t>un recours efficace.</w:t>
      </w:r>
    </w:p>
    <w:p w:rsidR="009E78BF" w:rsidRPr="0047067F" w:rsidRDefault="009E78BF" w:rsidP="00195DFB">
      <w:pPr>
        <w:pStyle w:val="ECHRPara"/>
        <w:rPr>
          <w:lang w:val="fr-FR"/>
        </w:rPr>
      </w:pPr>
      <w:r>
        <w:rPr>
          <w:lang w:val="fr-FR"/>
        </w:rPr>
        <w:t>35.  Il est vrai que dans son jugement du 5 novembre 2012, le tribunal de Rome a rejeté le recours du requérant, estimant, pour l</w:t>
      </w:r>
      <w:r w:rsidR="00DC51BC">
        <w:rPr>
          <w:lang w:val="fr-FR"/>
        </w:rPr>
        <w:t>’</w:t>
      </w:r>
      <w:r>
        <w:rPr>
          <w:lang w:val="fr-FR"/>
        </w:rPr>
        <w:t>essentiel, que seul l</w:t>
      </w:r>
      <w:r w:rsidR="00DC51BC">
        <w:rPr>
          <w:lang w:val="fr-FR"/>
        </w:rPr>
        <w:t>’</w:t>
      </w:r>
      <w:r>
        <w:rPr>
          <w:lang w:val="fr-FR"/>
        </w:rPr>
        <w:t>exercice illégitime, par la commission parlementaire, de ses pouvoirs d</w:t>
      </w:r>
      <w:r w:rsidR="00DC51BC">
        <w:rPr>
          <w:lang w:val="fr-FR"/>
        </w:rPr>
        <w:t>’</w:t>
      </w:r>
      <w:r>
        <w:rPr>
          <w:lang w:val="fr-FR"/>
        </w:rPr>
        <w:t>enquête était soumis au contrôle des tribunaux, qui n</w:t>
      </w:r>
      <w:r w:rsidR="00DC51BC">
        <w:rPr>
          <w:lang w:val="fr-FR"/>
        </w:rPr>
        <w:t>’</w:t>
      </w:r>
      <w:r>
        <w:rPr>
          <w:lang w:val="fr-FR"/>
        </w:rPr>
        <w:t>étaient en revanche pas compétents à examiner le contenu des actes politiques des organes parlementaires (paragraphes 19-21 ci-dessus). Il n</w:t>
      </w:r>
      <w:r w:rsidR="00DC51BC">
        <w:rPr>
          <w:lang w:val="fr-FR"/>
        </w:rPr>
        <w:t>’</w:t>
      </w:r>
      <w:r>
        <w:rPr>
          <w:lang w:val="fr-FR"/>
        </w:rPr>
        <w:t>en demeure pas moins que le requérant a interjeté appel de ce jugement (paragraphe 23 ci-dessus), et qu</w:t>
      </w:r>
      <w:r w:rsidR="00DC51BC">
        <w:rPr>
          <w:lang w:val="fr-FR"/>
        </w:rPr>
        <w:t>’</w:t>
      </w:r>
      <w:r>
        <w:rPr>
          <w:lang w:val="fr-FR"/>
        </w:rPr>
        <w:t>il aura la faculté, devant la cour d</w:t>
      </w:r>
      <w:r w:rsidR="00DC51BC">
        <w:rPr>
          <w:lang w:val="fr-FR"/>
        </w:rPr>
        <w:t>’</w:t>
      </w:r>
      <w:r>
        <w:rPr>
          <w:lang w:val="fr-FR"/>
        </w:rPr>
        <w:t>appel ou, le cas échéant, devant la Cour de cassation, de présenter des arguments factuels et juridiques visant à combattre le raisonnement suivi par le tribunal de Rome et ses conclusions. Il pourra également apporter des éléments à l</w:t>
      </w:r>
      <w:r w:rsidR="00DC51BC">
        <w:rPr>
          <w:lang w:val="fr-FR"/>
        </w:rPr>
        <w:t>’</w:t>
      </w:r>
      <w:r>
        <w:rPr>
          <w:lang w:val="fr-FR"/>
        </w:rPr>
        <w:t>appui de sa thèse – contestée par le Gouvernement devant la Cour – selon laquelle les informations divulguées dans le rapport de la commission parlementaire et dans la presse étaient couvertes par le secret. Rien ne permet de penser que l</w:t>
      </w:r>
      <w:r w:rsidR="00DC51BC">
        <w:rPr>
          <w:lang w:val="fr-FR"/>
        </w:rPr>
        <w:t>’</w:t>
      </w:r>
      <w:r>
        <w:rPr>
          <w:lang w:val="fr-FR"/>
        </w:rPr>
        <w:t xml:space="preserve">appel et/ou </w:t>
      </w:r>
      <w:r>
        <w:rPr>
          <w:lang w:val="fr-FR"/>
        </w:rPr>
        <w:lastRenderedPageBreak/>
        <w:t>l</w:t>
      </w:r>
      <w:r w:rsidR="00DC51BC">
        <w:rPr>
          <w:lang w:val="fr-FR"/>
        </w:rPr>
        <w:t>’</w:t>
      </w:r>
      <w:r>
        <w:rPr>
          <w:lang w:val="fr-FR"/>
        </w:rPr>
        <w:t>éventuel pourvoi en cassation du requérant sont voués à l</w:t>
      </w:r>
      <w:r w:rsidR="00DC51BC">
        <w:rPr>
          <w:lang w:val="fr-FR"/>
        </w:rPr>
        <w:t>’</w:t>
      </w:r>
      <w:r>
        <w:rPr>
          <w:lang w:val="fr-FR"/>
        </w:rPr>
        <w:t xml:space="preserve">échec. </w:t>
      </w:r>
      <w:r>
        <w:rPr>
          <w:rFonts w:cstheme="minorHAnsi"/>
          <w:lang w:val="fr-FR"/>
        </w:rPr>
        <w:t>À</w:t>
      </w:r>
      <w:r>
        <w:rPr>
          <w:lang w:val="fr-FR"/>
        </w:rPr>
        <w:t xml:space="preserve"> cet égard, il convient de rappeler que </w:t>
      </w:r>
      <w:r w:rsidRPr="0060435A">
        <w:rPr>
          <w:lang w:val="fr-FR"/>
        </w:rPr>
        <w:t>le simple fait de nourrir des doutes quant aux perspectives de succès d</w:t>
      </w:r>
      <w:r w:rsidR="00DC51BC">
        <w:rPr>
          <w:lang w:val="fr-FR"/>
        </w:rPr>
        <w:t>’</w:t>
      </w:r>
      <w:r w:rsidRPr="0060435A">
        <w:rPr>
          <w:lang w:val="fr-FR"/>
        </w:rPr>
        <w:t>un recours donné qui n</w:t>
      </w:r>
      <w:r w:rsidR="00DC51BC">
        <w:rPr>
          <w:lang w:val="fr-FR"/>
        </w:rPr>
        <w:t>’</w:t>
      </w:r>
      <w:r w:rsidRPr="0060435A">
        <w:rPr>
          <w:lang w:val="fr-FR"/>
        </w:rPr>
        <w:t>est pas de toute évidence voué à l</w:t>
      </w:r>
      <w:r w:rsidR="00DC51BC">
        <w:rPr>
          <w:lang w:val="fr-FR"/>
        </w:rPr>
        <w:t>’</w:t>
      </w:r>
      <w:r w:rsidRPr="0060435A">
        <w:rPr>
          <w:lang w:val="fr-FR"/>
        </w:rPr>
        <w:t>échec ne constitue pas une raison valable pour justifier la non-utilisation de recours internes (</w:t>
      </w:r>
      <w:r w:rsidRPr="0060435A">
        <w:rPr>
          <w:i/>
          <w:lang w:val="fr-FR"/>
        </w:rPr>
        <w:t>Sardinas Albo c. Italie</w:t>
      </w:r>
      <w:r w:rsidRPr="0060435A">
        <w:rPr>
          <w:lang w:val="fr-FR"/>
        </w:rPr>
        <w:t xml:space="preserve"> (déc.), n</w:t>
      </w:r>
      <w:r w:rsidRPr="009E78BF">
        <w:rPr>
          <w:vertAlign w:val="superscript"/>
          <w:lang w:val="fr-FR"/>
        </w:rPr>
        <w:t>o</w:t>
      </w:r>
      <w:r>
        <w:rPr>
          <w:lang w:val="fr-FR"/>
        </w:rPr>
        <w:t xml:space="preserve"> 56271/00, </w:t>
      </w:r>
      <w:r w:rsidRPr="0060435A">
        <w:rPr>
          <w:lang w:val="fr-FR"/>
        </w:rPr>
        <w:t>CEDH 2004-I</w:t>
      </w:r>
      <w:r>
        <w:rPr>
          <w:lang w:val="fr-FR"/>
        </w:rPr>
        <w:t xml:space="preserve">, et </w:t>
      </w:r>
      <w:r>
        <w:rPr>
          <w:i/>
          <w:lang w:val="fr-FR"/>
        </w:rPr>
        <w:t xml:space="preserve">Sejdovic c. Italie </w:t>
      </w:r>
      <w:r>
        <w:rPr>
          <w:lang w:val="fr-FR"/>
        </w:rPr>
        <w:t>[GC], n</w:t>
      </w:r>
      <w:r w:rsidRPr="009E78BF">
        <w:rPr>
          <w:vertAlign w:val="superscript"/>
          <w:lang w:val="fr-FR"/>
        </w:rPr>
        <w:t>o</w:t>
      </w:r>
      <w:r>
        <w:rPr>
          <w:lang w:val="fr-FR"/>
        </w:rPr>
        <w:t xml:space="preserve"> 56581/00, § 45, CEDH 2006-II</w:t>
      </w:r>
      <w:r w:rsidRPr="0060435A">
        <w:rPr>
          <w:lang w:val="fr-FR"/>
        </w:rPr>
        <w:t>).</w:t>
      </w:r>
      <w:r w:rsidRPr="00DC5F6D">
        <w:rPr>
          <w:lang w:val="fr-FR"/>
        </w:rPr>
        <w:t xml:space="preserve"> Seul un refus systématique des juridictions internes et caractérisé par une jurisprudence établie, de prendre en compte la demande de dédommagement pourrait dispenser le requérant d</w:t>
      </w:r>
      <w:r w:rsidR="00DC51BC">
        <w:rPr>
          <w:lang w:val="fr-FR"/>
        </w:rPr>
        <w:t>’</w:t>
      </w:r>
      <w:r w:rsidRPr="00DC5F6D">
        <w:rPr>
          <w:lang w:val="fr-FR"/>
        </w:rPr>
        <w:t xml:space="preserve">épuiser les voies de recours internes </w:t>
      </w:r>
      <w:r>
        <w:rPr>
          <w:lang w:val="fr-FR"/>
        </w:rPr>
        <w:t>(</w:t>
      </w:r>
      <w:r w:rsidRPr="00DC5F6D">
        <w:rPr>
          <w:i/>
          <w:lang w:val="fr-FR"/>
        </w:rPr>
        <w:t>Lienhardt c. France</w:t>
      </w:r>
      <w:r w:rsidRPr="00DC5F6D">
        <w:rPr>
          <w:lang w:val="fr-FR"/>
        </w:rPr>
        <w:t xml:space="preserve"> (déc.), n</w:t>
      </w:r>
      <w:r w:rsidRPr="009E78BF">
        <w:rPr>
          <w:vertAlign w:val="superscript"/>
          <w:lang w:val="fr-FR"/>
        </w:rPr>
        <w:t>o</w:t>
      </w:r>
      <w:r w:rsidRPr="00DC5F6D">
        <w:rPr>
          <w:lang w:val="fr-FR"/>
        </w:rPr>
        <w:t xml:space="preserve"> 12139/10, 13 septembre 2011</w:t>
      </w:r>
      <w:r>
        <w:rPr>
          <w:lang w:val="fr-FR"/>
        </w:rPr>
        <w:t>,</w:t>
      </w:r>
      <w:r w:rsidRPr="00DC5F6D">
        <w:rPr>
          <w:lang w:val="fr-FR"/>
        </w:rPr>
        <w:t xml:space="preserve"> et</w:t>
      </w:r>
      <w:r>
        <w:rPr>
          <w:lang w:val="fr-FR"/>
        </w:rPr>
        <w:t>,</w:t>
      </w:r>
      <w:r w:rsidRPr="00DC5F6D">
        <w:rPr>
          <w:lang w:val="fr-FR"/>
        </w:rPr>
        <w:t xml:space="preserve"> </w:t>
      </w:r>
      <w:r w:rsidRPr="0037470B">
        <w:rPr>
          <w:i/>
          <w:lang w:val="fr-FR"/>
        </w:rPr>
        <w:t>mutatis mutandis</w:t>
      </w:r>
      <w:r w:rsidRPr="00DC5F6D">
        <w:rPr>
          <w:lang w:val="fr-FR"/>
        </w:rPr>
        <w:t xml:space="preserve">, </w:t>
      </w:r>
      <w:r w:rsidRPr="00DC5F6D">
        <w:rPr>
          <w:i/>
          <w:lang w:val="fr-FR"/>
        </w:rPr>
        <w:t>Scordino c. Italie</w:t>
      </w:r>
      <w:r w:rsidRPr="00DC5F6D">
        <w:rPr>
          <w:lang w:val="fr-FR"/>
        </w:rPr>
        <w:t xml:space="preserve"> (n</w:t>
      </w:r>
      <w:r w:rsidRPr="009E78BF">
        <w:rPr>
          <w:vertAlign w:val="superscript"/>
          <w:lang w:val="fr-FR"/>
        </w:rPr>
        <w:t>o</w:t>
      </w:r>
      <w:r w:rsidRPr="00DC5F6D">
        <w:rPr>
          <w:lang w:val="fr-FR"/>
        </w:rPr>
        <w:t xml:space="preserve"> 1) [GC], n</w:t>
      </w:r>
      <w:r w:rsidRPr="009E78BF">
        <w:rPr>
          <w:vertAlign w:val="superscript"/>
          <w:lang w:val="fr-FR"/>
        </w:rPr>
        <w:t>o</w:t>
      </w:r>
      <w:r w:rsidRPr="00DC5F6D">
        <w:rPr>
          <w:lang w:val="fr-FR"/>
        </w:rPr>
        <w:t xml:space="preserve"> 36813/97, §§</w:t>
      </w:r>
      <w:r>
        <w:rPr>
          <w:lang w:val="fr-FR"/>
        </w:rPr>
        <w:t> </w:t>
      </w:r>
      <w:r w:rsidRPr="00DC5F6D">
        <w:rPr>
          <w:lang w:val="fr-FR"/>
        </w:rPr>
        <w:t>136 et 145, CEDH 2006-V).</w:t>
      </w:r>
    </w:p>
    <w:p w:rsidR="009E78BF" w:rsidRDefault="009E78BF" w:rsidP="00195DFB">
      <w:pPr>
        <w:pStyle w:val="ECHRPara"/>
        <w:rPr>
          <w:lang w:val="fr-FR"/>
        </w:rPr>
      </w:pPr>
      <w:r>
        <w:rPr>
          <w:lang w:val="fr-FR"/>
        </w:rPr>
        <w:t>36.  </w:t>
      </w:r>
      <w:r>
        <w:rPr>
          <w:rFonts w:cstheme="minorHAnsi"/>
          <w:lang w:val="fr-FR"/>
        </w:rPr>
        <w:t>À</w:t>
      </w:r>
      <w:r>
        <w:rPr>
          <w:lang w:val="fr-FR"/>
        </w:rPr>
        <w:t xml:space="preserve"> la lumière de ce qui précède, la Cour estime que le requérant a tenté, au niveau interne, un recours qui apparait effectif. La procédure relative à ce recours est actuellement pendante en appel, où, selon les informations fournies par le Gouvernement, la prochaine audience a été fixée au 13</w:t>
      </w:r>
      <w:r w:rsidR="002C2969">
        <w:rPr>
          <w:lang w:val="fr-FR"/>
        </w:rPr>
        <w:t xml:space="preserve"> </w:t>
      </w:r>
      <w:r>
        <w:rPr>
          <w:lang w:val="fr-FR"/>
        </w:rPr>
        <w:t xml:space="preserve">novembre 2016 (paragraphe 23 ci-dessus). Tout grief du requérant portant sur la prétendue atteinte à sa réputation à cause la divulgation des informations contenues dans le compte rendu des séances de la commission parlementaire des </w:t>
      </w:r>
      <w:r w:rsidRPr="008C2D4D">
        <w:rPr>
          <w:lang w:val="fr-FR"/>
        </w:rPr>
        <w:t>4</w:t>
      </w:r>
      <w:r>
        <w:rPr>
          <w:lang w:val="fr-FR"/>
        </w:rPr>
        <w:t> d</w:t>
      </w:r>
      <w:r w:rsidRPr="008C2D4D">
        <w:rPr>
          <w:lang w:val="fr-FR"/>
        </w:rPr>
        <w:t>écembre 2007 et 5</w:t>
      </w:r>
      <w:r w:rsidR="002C2969">
        <w:rPr>
          <w:lang w:val="fr-FR"/>
        </w:rPr>
        <w:t xml:space="preserve"> </w:t>
      </w:r>
      <w:r w:rsidRPr="008C2D4D">
        <w:rPr>
          <w:lang w:val="fr-FR"/>
        </w:rPr>
        <w:t>février 2008</w:t>
      </w:r>
      <w:r>
        <w:rPr>
          <w:lang w:val="fr-FR"/>
        </w:rPr>
        <w:t xml:space="preserve"> est donc prématuré.</w:t>
      </w:r>
    </w:p>
    <w:p w:rsidR="009E78BF" w:rsidRPr="009C3883" w:rsidRDefault="009E78BF" w:rsidP="00195DFB">
      <w:pPr>
        <w:pStyle w:val="ECHRPara"/>
        <w:rPr>
          <w:lang w:val="fr-FR"/>
        </w:rPr>
      </w:pPr>
      <w:r>
        <w:rPr>
          <w:lang w:val="fr-FR"/>
        </w:rPr>
        <w:t>37.  </w:t>
      </w:r>
      <w:r w:rsidRPr="009C3883">
        <w:rPr>
          <w:lang w:val="fr-FR"/>
        </w:rPr>
        <w:t>Il s</w:t>
      </w:r>
      <w:r w:rsidR="00DC51BC">
        <w:rPr>
          <w:lang w:val="fr-FR"/>
        </w:rPr>
        <w:t>’</w:t>
      </w:r>
      <w:r w:rsidRPr="009C3883">
        <w:rPr>
          <w:lang w:val="fr-FR"/>
        </w:rPr>
        <w:t xml:space="preserve">ensuit que </w:t>
      </w:r>
      <w:r>
        <w:rPr>
          <w:lang w:val="fr-FR"/>
        </w:rPr>
        <w:t>la requête</w:t>
      </w:r>
      <w:r w:rsidRPr="009C3883">
        <w:rPr>
          <w:lang w:val="fr-FR"/>
        </w:rPr>
        <w:t xml:space="preserve"> doit être rejeté</w:t>
      </w:r>
      <w:r>
        <w:rPr>
          <w:lang w:val="fr-FR"/>
        </w:rPr>
        <w:t>e</w:t>
      </w:r>
      <w:r w:rsidRPr="009C3883">
        <w:rPr>
          <w:lang w:val="fr-FR"/>
        </w:rPr>
        <w:t xml:space="preserve"> pour non-épuisement des voies de recours internes, en application de l</w:t>
      </w:r>
      <w:r w:rsidR="00DC51BC">
        <w:rPr>
          <w:lang w:val="fr-FR"/>
        </w:rPr>
        <w:t>’</w:t>
      </w:r>
      <w:r w:rsidRPr="009C3883">
        <w:rPr>
          <w:lang w:val="fr-FR"/>
        </w:rPr>
        <w:t>article 35</w:t>
      </w:r>
      <w:r w:rsidR="002C2969">
        <w:rPr>
          <w:lang w:val="fr-FR"/>
        </w:rPr>
        <w:t xml:space="preserve"> </w:t>
      </w:r>
      <w:r w:rsidRPr="009C3883">
        <w:rPr>
          <w:lang w:val="fr-FR"/>
        </w:rPr>
        <w:t>§§</w:t>
      </w:r>
      <w:r w:rsidR="002C2969">
        <w:rPr>
          <w:lang w:val="fr-FR"/>
        </w:rPr>
        <w:t xml:space="preserve"> </w:t>
      </w:r>
      <w:r w:rsidRPr="009C3883">
        <w:rPr>
          <w:lang w:val="fr-FR"/>
        </w:rPr>
        <w:t>1 et</w:t>
      </w:r>
      <w:r w:rsidR="002C2969">
        <w:rPr>
          <w:lang w:val="fr-FR"/>
        </w:rPr>
        <w:t xml:space="preserve"> </w:t>
      </w:r>
      <w:r w:rsidRPr="009C3883">
        <w:rPr>
          <w:lang w:val="fr-FR"/>
        </w:rPr>
        <w:t>4 de la Convention.</w:t>
      </w:r>
    </w:p>
    <w:p w:rsidR="009E78BF" w:rsidRDefault="009E78BF" w:rsidP="00195DFB">
      <w:pPr>
        <w:pStyle w:val="JuParaLast"/>
        <w:rPr>
          <w:lang w:val="fr-FR"/>
        </w:rPr>
      </w:pPr>
      <w:r w:rsidRPr="008C2D4D">
        <w:rPr>
          <w:lang w:val="fr-FR"/>
        </w:rPr>
        <w:t>Par ces motifs, la Cour, à l</w:t>
      </w:r>
      <w:r w:rsidR="00DC51BC">
        <w:rPr>
          <w:lang w:val="fr-FR"/>
        </w:rPr>
        <w:t>’</w:t>
      </w:r>
      <w:r>
        <w:rPr>
          <w:lang w:val="fr-FR"/>
        </w:rPr>
        <w:t>unanimité,</w:t>
      </w:r>
    </w:p>
    <w:p w:rsidR="009E78BF" w:rsidRPr="008C2D4D" w:rsidRDefault="009E78BF" w:rsidP="00195DFB">
      <w:pPr>
        <w:pStyle w:val="DecList"/>
        <w:rPr>
          <w:lang w:val="fr-FR"/>
        </w:rPr>
      </w:pPr>
      <w:r w:rsidRPr="00DC51BC">
        <w:rPr>
          <w:i/>
          <w:lang w:val="fr-FR"/>
        </w:rPr>
        <w:t>Déclare</w:t>
      </w:r>
      <w:r w:rsidRPr="008C2D4D">
        <w:rPr>
          <w:lang w:val="fr-FR"/>
        </w:rPr>
        <w:t xml:space="preserve"> la requête irrecevable.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9E78BF">
        <w:rPr>
          <w:szCs w:val="24"/>
          <w:lang w:val="fr-FR"/>
        </w:rPr>
        <w:t>31 mars 2016</w:t>
      </w:r>
      <w:r w:rsidRPr="00AD4F05">
        <w:rPr>
          <w:lang w:val="fr-FR"/>
        </w:rPr>
        <w:t>.</w:t>
      </w:r>
    </w:p>
    <w:p w:rsidR="00CE6ED9" w:rsidRPr="004C6DC7" w:rsidRDefault="009E78BF" w:rsidP="009E78BF">
      <w:pPr>
        <w:pStyle w:val="JuSigned"/>
        <w:tabs>
          <w:tab w:val="clear" w:pos="6407"/>
          <w:tab w:val="center" w:pos="5954"/>
        </w:tabs>
        <w:rPr>
          <w:lang w:val="fr-FR"/>
        </w:rPr>
      </w:pPr>
      <w:r w:rsidRPr="004C6DC7">
        <w:rPr>
          <w:lang w:val="fr-FR"/>
        </w:rPr>
        <w:tab/>
        <w:t xml:space="preserve">André Wampach </w:t>
      </w:r>
      <w:r w:rsidR="006544C4" w:rsidRPr="004C6DC7">
        <w:rPr>
          <w:lang w:val="fr-FR"/>
        </w:rPr>
        <w:tab/>
      </w:r>
      <w:r w:rsidRPr="004C6DC7">
        <w:rPr>
          <w:lang w:val="fr-FR"/>
        </w:rPr>
        <w:t>Mirjana Lazarova Trajkovska</w:t>
      </w:r>
      <w:r w:rsidR="006544C4" w:rsidRPr="004C6DC7">
        <w:rPr>
          <w:lang w:val="fr-FR"/>
        </w:rPr>
        <w:br/>
      </w:r>
      <w:r w:rsidR="006544C4" w:rsidRPr="004C6DC7">
        <w:rPr>
          <w:lang w:val="fr-FR"/>
        </w:rPr>
        <w:tab/>
      </w:r>
      <w:r w:rsidRPr="004C6DC7">
        <w:rPr>
          <w:lang w:val="fr-FR"/>
        </w:rPr>
        <w:t>Greffier adjoint</w:t>
      </w:r>
      <w:r w:rsidR="006544C4" w:rsidRPr="004C6DC7">
        <w:rPr>
          <w:lang w:val="fr-FR"/>
        </w:rPr>
        <w:tab/>
      </w:r>
      <w:r w:rsidRPr="004C6DC7">
        <w:rPr>
          <w:lang w:val="fr-FR"/>
        </w:rPr>
        <w:t>Présidente</w:t>
      </w:r>
    </w:p>
    <w:sectPr w:rsidR="00CE6ED9" w:rsidRPr="004C6DC7"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AB" w:rsidRDefault="004258AB" w:rsidP="006544C4">
      <w:r>
        <w:separator/>
      </w:r>
    </w:p>
  </w:endnote>
  <w:endnote w:type="continuationSeparator" w:id="0">
    <w:p w:rsidR="004258AB" w:rsidRDefault="004258AB"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BF" w:rsidRPr="00150BFA" w:rsidRDefault="009E78BF" w:rsidP="0020718E">
    <w:pPr>
      <w:jc w:val="center"/>
    </w:pPr>
    <w:r>
      <w:rPr>
        <w:noProof/>
        <w:lang w:val="it-IT" w:eastAsia="it-IT"/>
      </w:rPr>
      <w:drawing>
        <wp:inline distT="0" distB="0" distL="0" distR="0" wp14:anchorId="327DBD1D" wp14:editId="1CCCBE4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4258AB"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AB" w:rsidRDefault="004258AB" w:rsidP="006544C4">
      <w:r>
        <w:separator/>
      </w:r>
    </w:p>
  </w:footnote>
  <w:footnote w:type="continuationSeparator" w:id="0">
    <w:p w:rsidR="004258AB" w:rsidRDefault="004258AB"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9E78BF"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DD0F0A">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GATTO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9E78BF">
      <w:rPr>
        <w:lang w:val="en-GB"/>
      </w:rPr>
      <w:t>GATTO c. ITALIE</w:t>
    </w:r>
    <w:r w:rsidRPr="000D527F">
      <w:rPr>
        <w:lang w:val="en-GB"/>
      </w:rPr>
      <w:tab/>
    </w:r>
    <w:r w:rsidR="009E78BF">
      <w:rPr>
        <w:rStyle w:val="Numeropagina"/>
        <w:lang w:val="en-GB"/>
      </w:rPr>
      <w:fldChar w:fldCharType="begin"/>
    </w:r>
    <w:r w:rsidR="009E78BF">
      <w:rPr>
        <w:rStyle w:val="Numeropagina"/>
        <w:lang w:val="en-GB"/>
      </w:rPr>
      <w:instrText xml:space="preserve"> PAGE </w:instrText>
    </w:r>
    <w:r w:rsidR="009E78BF">
      <w:rPr>
        <w:rStyle w:val="Numeropagina"/>
        <w:lang w:val="en-GB"/>
      </w:rPr>
      <w:fldChar w:fldCharType="separate"/>
    </w:r>
    <w:r w:rsidR="00DD0F0A">
      <w:rPr>
        <w:rStyle w:val="Numeropagina"/>
        <w:noProof/>
        <w:lang w:val="en-GB"/>
      </w:rPr>
      <w:t>9</w:t>
    </w:r>
    <w:r w:rsidR="009E78BF">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BF" w:rsidRPr="00A45145" w:rsidRDefault="009E78BF" w:rsidP="00A45145">
    <w:pPr>
      <w:jc w:val="center"/>
    </w:pPr>
    <w:r>
      <w:rPr>
        <w:noProof/>
        <w:lang w:val="it-IT" w:eastAsia="it-IT"/>
      </w:rPr>
      <w:drawing>
        <wp:inline distT="0" distB="0" distL="0" distR="0" wp14:anchorId="63064837" wp14:editId="030D5B8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4258AB"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9E78BF"/>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2969"/>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8AB"/>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6DC7"/>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67507"/>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1698"/>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1494"/>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1DAE"/>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E78BF"/>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2BF"/>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51BC"/>
    <w:rsid w:val="00DC63F0"/>
    <w:rsid w:val="00DD0F0A"/>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E78BF"/>
    <w:pPr>
      <w:jc w:val="both"/>
    </w:pPr>
    <w:rPr>
      <w:rFonts w:eastAsiaTheme="minorEastAsia"/>
      <w:sz w:val="24"/>
    </w:rPr>
  </w:style>
  <w:style w:type="paragraph" w:styleId="Titolo1">
    <w:name w:val="heading 1"/>
    <w:basedOn w:val="Normale"/>
    <w:next w:val="Normale"/>
    <w:link w:val="Titolo1Carattere"/>
    <w:uiPriority w:val="99"/>
    <w:semiHidden/>
    <w:rsid w:val="009E78B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E78B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E78B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E78B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E78BF"/>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E78B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E78BF"/>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9E78B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E78B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E78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8BF"/>
    <w:rPr>
      <w:rFonts w:ascii="Tahoma" w:eastAsiaTheme="minorEastAsia" w:hAnsi="Tahoma" w:cs="Tahoma"/>
      <w:sz w:val="16"/>
      <w:szCs w:val="16"/>
    </w:rPr>
  </w:style>
  <w:style w:type="character" w:styleId="Titolodellibro">
    <w:name w:val="Book Title"/>
    <w:uiPriority w:val="99"/>
    <w:semiHidden/>
    <w:qFormat/>
    <w:rsid w:val="009E78BF"/>
    <w:rPr>
      <w:i/>
      <w:iCs/>
      <w:smallCaps/>
      <w:spacing w:val="5"/>
    </w:rPr>
  </w:style>
  <w:style w:type="paragraph" w:customStyle="1" w:styleId="ECHRHeader">
    <w:name w:val="ECHR_Header"/>
    <w:aliases w:val="Ju_Header"/>
    <w:basedOn w:val="Intestazione"/>
    <w:uiPriority w:val="4"/>
    <w:qFormat/>
    <w:rsid w:val="009E78BF"/>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9E78BF"/>
    <w:pPr>
      <w:jc w:val="left"/>
    </w:pPr>
    <w:rPr>
      <w:sz w:val="8"/>
    </w:rPr>
  </w:style>
  <w:style w:type="character" w:styleId="Enfasigrassetto">
    <w:name w:val="Strong"/>
    <w:uiPriority w:val="99"/>
    <w:semiHidden/>
    <w:qFormat/>
    <w:rsid w:val="009E78BF"/>
    <w:rPr>
      <w:b/>
      <w:bCs/>
    </w:rPr>
  </w:style>
  <w:style w:type="paragraph" w:styleId="Nessunaspaziatura">
    <w:name w:val="No Spacing"/>
    <w:basedOn w:val="Normale"/>
    <w:link w:val="NessunaspaziaturaCarattere"/>
    <w:semiHidden/>
    <w:qFormat/>
    <w:rsid w:val="009E78BF"/>
    <w:rPr>
      <w:sz w:val="22"/>
    </w:rPr>
  </w:style>
  <w:style w:type="character" w:customStyle="1" w:styleId="NessunaspaziaturaCarattere">
    <w:name w:val="Nessuna spaziatura Carattere"/>
    <w:basedOn w:val="Carpredefinitoparagrafo"/>
    <w:link w:val="Nessunaspaziatura"/>
    <w:semiHidden/>
    <w:rsid w:val="009E78BF"/>
    <w:rPr>
      <w:rFonts w:eastAsiaTheme="minorEastAsia"/>
    </w:rPr>
  </w:style>
  <w:style w:type="paragraph" w:customStyle="1" w:styleId="ECHRFooterLine">
    <w:name w:val="ECHR_Footer_Line"/>
    <w:aliases w:val="Footer_Line"/>
    <w:basedOn w:val="Normale"/>
    <w:next w:val="ECHRFooter"/>
    <w:uiPriority w:val="57"/>
    <w:semiHidden/>
    <w:rsid w:val="009E78BF"/>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Para_Quote"/>
    <w:basedOn w:val="Normale"/>
    <w:link w:val="JuQuotChar"/>
    <w:uiPriority w:val="14"/>
    <w:qFormat/>
    <w:rsid w:val="009E78BF"/>
    <w:pPr>
      <w:spacing w:before="120" w:after="120"/>
      <w:ind w:left="425" w:firstLine="142"/>
    </w:pPr>
    <w:rPr>
      <w:sz w:val="20"/>
    </w:rPr>
  </w:style>
  <w:style w:type="paragraph" w:customStyle="1" w:styleId="JuAppQuestion">
    <w:name w:val="Ju_App_Question"/>
    <w:basedOn w:val="Normale"/>
    <w:uiPriority w:val="5"/>
    <w:qFormat/>
    <w:rsid w:val="009E78BF"/>
    <w:pPr>
      <w:numPr>
        <w:numId w:val="14"/>
      </w:numPr>
      <w:jc w:val="left"/>
    </w:pPr>
    <w:rPr>
      <w:b/>
    </w:rPr>
  </w:style>
  <w:style w:type="paragraph" w:customStyle="1" w:styleId="OpiPara">
    <w:name w:val="Opi_Para"/>
    <w:basedOn w:val="ECHRPara"/>
    <w:uiPriority w:val="46"/>
    <w:semiHidden/>
    <w:qFormat/>
    <w:rsid w:val="009E78BF"/>
  </w:style>
  <w:style w:type="paragraph" w:customStyle="1" w:styleId="JuParaSub">
    <w:name w:val="Ju_Para_Sub"/>
    <w:basedOn w:val="ECHRPara"/>
    <w:uiPriority w:val="13"/>
    <w:qFormat/>
    <w:rsid w:val="009E78BF"/>
    <w:pPr>
      <w:ind w:left="284"/>
    </w:pPr>
  </w:style>
  <w:style w:type="paragraph" w:customStyle="1" w:styleId="OpiParaSub">
    <w:name w:val="Opi_Para_Sub"/>
    <w:basedOn w:val="JuParaSub"/>
    <w:uiPriority w:val="47"/>
    <w:semiHidden/>
    <w:qFormat/>
    <w:rsid w:val="009E78BF"/>
  </w:style>
  <w:style w:type="paragraph" w:customStyle="1" w:styleId="ECHRTitleCentre3">
    <w:name w:val="ECHR_Title_Centre_3"/>
    <w:aliases w:val="Ju_H_Article"/>
    <w:basedOn w:val="Normale"/>
    <w:next w:val="ECHRParaQuote"/>
    <w:uiPriority w:val="27"/>
    <w:qFormat/>
    <w:rsid w:val="009E78B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9E78BF"/>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9E78BF"/>
  </w:style>
  <w:style w:type="paragraph" w:customStyle="1" w:styleId="ECHRTitle1">
    <w:name w:val="ECHR_Title_1"/>
    <w:aliases w:val="Ju_H_Head"/>
    <w:basedOn w:val="Normale"/>
    <w:next w:val="ECHRPara"/>
    <w:link w:val="JuHHeadChar"/>
    <w:uiPriority w:val="18"/>
    <w:qFormat/>
    <w:rsid w:val="009E78BF"/>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9E78BF"/>
  </w:style>
  <w:style w:type="paragraph" w:styleId="Titolo">
    <w:name w:val="Title"/>
    <w:basedOn w:val="Normale"/>
    <w:next w:val="Normale"/>
    <w:link w:val="TitoloCarattere"/>
    <w:uiPriority w:val="99"/>
    <w:semiHidden/>
    <w:qFormat/>
    <w:rsid w:val="009E78B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E78BF"/>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9E78BF"/>
    <w:pPr>
      <w:ind w:firstLine="284"/>
    </w:pPr>
    <w:rPr>
      <w:b/>
    </w:rPr>
  </w:style>
  <w:style w:type="paragraph" w:customStyle="1" w:styleId="JuQuotSub">
    <w:name w:val="Ju_Quot_Sub"/>
    <w:basedOn w:val="ECHRParaQuote"/>
    <w:uiPriority w:val="15"/>
    <w:qFormat/>
    <w:rsid w:val="009E78BF"/>
    <w:pPr>
      <w:ind w:left="567"/>
    </w:pPr>
  </w:style>
  <w:style w:type="paragraph" w:customStyle="1" w:styleId="JuInitialled">
    <w:name w:val="Ju_Initialled"/>
    <w:basedOn w:val="Normale"/>
    <w:uiPriority w:val="31"/>
    <w:qFormat/>
    <w:rsid w:val="009E78BF"/>
    <w:pPr>
      <w:tabs>
        <w:tab w:val="center" w:pos="6407"/>
      </w:tabs>
      <w:spacing w:before="720"/>
      <w:jc w:val="right"/>
    </w:pPr>
  </w:style>
  <w:style w:type="paragraph" w:customStyle="1" w:styleId="OpiHA">
    <w:name w:val="Opi_H_A"/>
    <w:basedOn w:val="ECHRHeading1"/>
    <w:next w:val="OpiPara"/>
    <w:uiPriority w:val="41"/>
    <w:semiHidden/>
    <w:qFormat/>
    <w:rsid w:val="009E78BF"/>
    <w:pPr>
      <w:tabs>
        <w:tab w:val="clear" w:pos="357"/>
      </w:tabs>
      <w:outlineLvl w:val="1"/>
    </w:pPr>
    <w:rPr>
      <w:b/>
    </w:rPr>
  </w:style>
  <w:style w:type="character" w:customStyle="1" w:styleId="JUNAMES">
    <w:name w:val="JU_NAMES"/>
    <w:uiPriority w:val="17"/>
    <w:qFormat/>
    <w:rsid w:val="009E78BF"/>
    <w:rPr>
      <w:caps w:val="0"/>
      <w:smallCaps/>
    </w:rPr>
  </w:style>
  <w:style w:type="paragraph" w:customStyle="1" w:styleId="ECHRHeading1">
    <w:name w:val="ECHR_Heading_1"/>
    <w:aliases w:val="Ju_H_I_Roman"/>
    <w:basedOn w:val="Titolo1"/>
    <w:next w:val="ECHRPara"/>
    <w:uiPriority w:val="19"/>
    <w:qFormat/>
    <w:rsid w:val="009E78B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ECHRHeading2Char"/>
    <w:uiPriority w:val="20"/>
    <w:qFormat/>
    <w:rsid w:val="009E78B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9E78BF"/>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9E78B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E78BF"/>
    <w:rPr>
      <w:sz w:val="24"/>
    </w:rPr>
  </w:style>
  <w:style w:type="character" w:customStyle="1" w:styleId="Titolo1Carattere">
    <w:name w:val="Titolo 1 Carattere"/>
    <w:basedOn w:val="Carpredefinitoparagrafo"/>
    <w:link w:val="Titolo1"/>
    <w:uiPriority w:val="99"/>
    <w:semiHidden/>
    <w:rsid w:val="009E78B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9E78B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9E78BF"/>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9E78B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9E78B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9E78BF"/>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9E78BF"/>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9E78BF"/>
    <w:pPr>
      <w:keepNext/>
      <w:keepLines/>
      <w:spacing w:before="240"/>
      <w:ind w:firstLine="284"/>
    </w:pPr>
  </w:style>
  <w:style w:type="paragraph" w:customStyle="1" w:styleId="DecList">
    <w:name w:val="Dec_List"/>
    <w:basedOn w:val="Normale"/>
    <w:uiPriority w:val="9"/>
    <w:qFormat/>
    <w:rsid w:val="009E78BF"/>
    <w:pPr>
      <w:spacing w:before="240"/>
      <w:ind w:left="284"/>
    </w:pPr>
  </w:style>
  <w:style w:type="character" w:customStyle="1" w:styleId="Titolo4Carattere">
    <w:name w:val="Titolo 4 Carattere"/>
    <w:basedOn w:val="Carpredefinitoparagrafo"/>
    <w:link w:val="Titolo4"/>
    <w:uiPriority w:val="99"/>
    <w:semiHidden/>
    <w:rsid w:val="009E78BF"/>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9E78BF"/>
    <w:pPr>
      <w:tabs>
        <w:tab w:val="left" w:pos="567"/>
        <w:tab w:val="left" w:pos="1134"/>
      </w:tabs>
      <w:jc w:val="left"/>
    </w:pPr>
  </w:style>
  <w:style w:type="character" w:customStyle="1" w:styleId="Titolo5Carattere">
    <w:name w:val="Titolo 5 Carattere"/>
    <w:basedOn w:val="Carpredefinitoparagrafo"/>
    <w:link w:val="Titolo5"/>
    <w:uiPriority w:val="99"/>
    <w:semiHidden/>
    <w:rsid w:val="009E78BF"/>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9E78BF"/>
    <w:rPr>
      <w:vanish w:val="0"/>
      <w:color w:val="auto"/>
      <w:sz w:val="14"/>
    </w:rPr>
  </w:style>
  <w:style w:type="paragraph" w:customStyle="1" w:styleId="OpiTranslation">
    <w:name w:val="Opi_Translation"/>
    <w:basedOn w:val="Normale"/>
    <w:next w:val="OpiPara"/>
    <w:uiPriority w:val="40"/>
    <w:semiHidden/>
    <w:qFormat/>
    <w:rsid w:val="009E78BF"/>
    <w:pPr>
      <w:jc w:val="center"/>
      <w:outlineLvl w:val="0"/>
    </w:pPr>
    <w:rPr>
      <w:i/>
    </w:rPr>
  </w:style>
  <w:style w:type="character" w:styleId="Enfasidelicata">
    <w:name w:val="Subtle Emphasis"/>
    <w:uiPriority w:val="99"/>
    <w:semiHidden/>
    <w:qFormat/>
    <w:rsid w:val="009E78BF"/>
    <w:rPr>
      <w:i/>
      <w:iCs/>
    </w:rPr>
  </w:style>
  <w:style w:type="paragraph" w:customStyle="1" w:styleId="JuCourt">
    <w:name w:val="Ju_Court"/>
    <w:basedOn w:val="Normale"/>
    <w:next w:val="Normale"/>
    <w:uiPriority w:val="16"/>
    <w:qFormat/>
    <w:rsid w:val="009E78BF"/>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9E78BF"/>
    <w:pPr>
      <w:ind w:left="340" w:hanging="340"/>
    </w:pPr>
  </w:style>
  <w:style w:type="paragraph" w:customStyle="1" w:styleId="JuLista">
    <w:name w:val="Ju_List_a"/>
    <w:basedOn w:val="JuList"/>
    <w:uiPriority w:val="28"/>
    <w:qFormat/>
    <w:rsid w:val="009E78BF"/>
    <w:pPr>
      <w:ind w:left="346" w:firstLine="0"/>
    </w:pPr>
  </w:style>
  <w:style w:type="paragraph" w:customStyle="1" w:styleId="ECHRTitleCentre2">
    <w:name w:val="ECHR_Title_Centre_2"/>
    <w:aliases w:val="Dec_H_Case"/>
    <w:basedOn w:val="Normale"/>
    <w:next w:val="ECHRPara"/>
    <w:uiPriority w:val="8"/>
    <w:qFormat/>
    <w:rsid w:val="009E78BF"/>
    <w:pPr>
      <w:spacing w:after="240"/>
      <w:jc w:val="center"/>
      <w:outlineLvl w:val="0"/>
    </w:pPr>
    <w:rPr>
      <w:rFonts w:asciiTheme="majorHAnsi" w:hAnsiTheme="majorHAnsi"/>
    </w:rPr>
  </w:style>
  <w:style w:type="character" w:styleId="Enfasicorsivo">
    <w:name w:val="Emphasis"/>
    <w:uiPriority w:val="99"/>
    <w:semiHidden/>
    <w:qFormat/>
    <w:rsid w:val="009E78BF"/>
    <w:rPr>
      <w:b/>
      <w:bCs/>
      <w:i/>
      <w:iCs/>
      <w:spacing w:val="10"/>
      <w:bdr w:val="none" w:sz="0" w:space="0" w:color="auto"/>
      <w:shd w:val="clear" w:color="auto" w:fill="auto"/>
    </w:rPr>
  </w:style>
  <w:style w:type="paragraph" w:styleId="Pidipagina">
    <w:name w:val="footer"/>
    <w:basedOn w:val="Normale"/>
    <w:link w:val="PidipaginaCarattere"/>
    <w:uiPriority w:val="57"/>
    <w:semiHidden/>
    <w:rsid w:val="009E78B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E78BF"/>
    <w:rPr>
      <w:sz w:val="24"/>
    </w:rPr>
  </w:style>
  <w:style w:type="character" w:styleId="Rimandonotaapidipagina">
    <w:name w:val="footnote reference"/>
    <w:basedOn w:val="Carpredefinitoparagrafo"/>
    <w:uiPriority w:val="99"/>
    <w:semiHidden/>
    <w:rsid w:val="009E78BF"/>
    <w:rPr>
      <w:vertAlign w:val="superscript"/>
    </w:rPr>
  </w:style>
  <w:style w:type="paragraph" w:styleId="Testonotaapidipagina">
    <w:name w:val="footnote text"/>
    <w:basedOn w:val="Normale"/>
    <w:link w:val="TestonotaapidipaginaCarattere"/>
    <w:uiPriority w:val="99"/>
    <w:semiHidden/>
    <w:rsid w:val="009E78BF"/>
    <w:rPr>
      <w:sz w:val="20"/>
      <w:szCs w:val="20"/>
    </w:rPr>
  </w:style>
  <w:style w:type="character" w:customStyle="1" w:styleId="TestonotaapidipaginaCarattere">
    <w:name w:val="Testo nota a piè di pagina Carattere"/>
    <w:basedOn w:val="Carpredefinitoparagrafo"/>
    <w:link w:val="Testonotaapidipagina"/>
    <w:uiPriority w:val="99"/>
    <w:semiHidden/>
    <w:rsid w:val="009E78BF"/>
    <w:rPr>
      <w:rFonts w:eastAsiaTheme="minorEastAsia"/>
      <w:sz w:val="20"/>
      <w:szCs w:val="20"/>
    </w:rPr>
  </w:style>
  <w:style w:type="character" w:customStyle="1" w:styleId="Titolo6Carattere">
    <w:name w:val="Titolo 6 Carattere"/>
    <w:basedOn w:val="Carpredefinitoparagrafo"/>
    <w:link w:val="Titolo6"/>
    <w:uiPriority w:val="99"/>
    <w:semiHidden/>
    <w:rsid w:val="009E78BF"/>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9E78BF"/>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9E78BF"/>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E78BF"/>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E78BF"/>
    <w:rPr>
      <w:color w:val="0072BC" w:themeColor="hyperlink"/>
      <w:u w:val="single"/>
    </w:rPr>
  </w:style>
  <w:style w:type="character" w:styleId="Enfasiintensa">
    <w:name w:val="Intense Emphasis"/>
    <w:uiPriority w:val="99"/>
    <w:semiHidden/>
    <w:qFormat/>
    <w:rsid w:val="009E78BF"/>
    <w:rPr>
      <w:b/>
      <w:bCs/>
    </w:rPr>
  </w:style>
  <w:style w:type="paragraph" w:styleId="Citazioneintensa">
    <w:name w:val="Intense Quote"/>
    <w:basedOn w:val="Normale"/>
    <w:next w:val="Normale"/>
    <w:link w:val="CitazioneintensaCarattere"/>
    <w:uiPriority w:val="99"/>
    <w:semiHidden/>
    <w:qFormat/>
    <w:rsid w:val="009E78BF"/>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9E78BF"/>
    <w:rPr>
      <w:rFonts w:eastAsiaTheme="minorEastAsia"/>
      <w:b/>
      <w:bCs/>
      <w:i/>
      <w:iCs/>
      <w:lang w:bidi="en-US"/>
    </w:rPr>
  </w:style>
  <w:style w:type="character" w:styleId="Riferimentointenso">
    <w:name w:val="Intense Reference"/>
    <w:uiPriority w:val="99"/>
    <w:semiHidden/>
    <w:qFormat/>
    <w:rsid w:val="009E78BF"/>
    <w:rPr>
      <w:smallCaps/>
      <w:spacing w:val="5"/>
      <w:u w:val="single"/>
    </w:rPr>
  </w:style>
  <w:style w:type="paragraph" w:styleId="Paragrafoelenco">
    <w:name w:val="List Paragraph"/>
    <w:basedOn w:val="Normale"/>
    <w:uiPriority w:val="99"/>
    <w:semiHidden/>
    <w:qFormat/>
    <w:rsid w:val="009E78B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E78BF"/>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9E78BF"/>
    <w:rPr>
      <w:rFonts w:eastAsiaTheme="minorEastAsia"/>
      <w:i/>
      <w:iCs/>
      <w:lang w:bidi="en-US"/>
    </w:rPr>
  </w:style>
  <w:style w:type="character" w:styleId="Riferimentodelicato">
    <w:name w:val="Subtle Reference"/>
    <w:uiPriority w:val="99"/>
    <w:semiHidden/>
    <w:qFormat/>
    <w:rsid w:val="009E78BF"/>
    <w:rPr>
      <w:smallCaps/>
    </w:rPr>
  </w:style>
  <w:style w:type="table" w:styleId="Grigliatabella">
    <w:name w:val="Table Grid"/>
    <w:basedOn w:val="Tabellanormale"/>
    <w:uiPriority w:val="59"/>
    <w:semiHidden/>
    <w:rsid w:val="009E78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E78BF"/>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9E78BF"/>
    <w:pPr>
      <w:spacing w:after="60"/>
      <w:ind w:left="680" w:right="340" w:hanging="340"/>
    </w:pPr>
  </w:style>
  <w:style w:type="paragraph" w:styleId="Sommario3">
    <w:name w:val="toc 3"/>
    <w:basedOn w:val="Normale"/>
    <w:next w:val="Normale"/>
    <w:autoRedefine/>
    <w:uiPriority w:val="99"/>
    <w:semiHidden/>
    <w:rsid w:val="009E78BF"/>
    <w:pPr>
      <w:spacing w:after="60"/>
      <w:ind w:left="1020" w:right="340" w:hanging="340"/>
    </w:pPr>
  </w:style>
  <w:style w:type="paragraph" w:styleId="Sommario4">
    <w:name w:val="toc 4"/>
    <w:basedOn w:val="Normale"/>
    <w:next w:val="Normale"/>
    <w:autoRedefine/>
    <w:uiPriority w:val="99"/>
    <w:semiHidden/>
    <w:rsid w:val="009E78BF"/>
    <w:pPr>
      <w:tabs>
        <w:tab w:val="right" w:leader="dot" w:pos="9017"/>
      </w:tabs>
      <w:spacing w:after="60"/>
      <w:ind w:left="1361" w:right="340" w:hanging="340"/>
    </w:pPr>
  </w:style>
  <w:style w:type="paragraph" w:styleId="Sommario5">
    <w:name w:val="toc 5"/>
    <w:basedOn w:val="Normale"/>
    <w:next w:val="Normale"/>
    <w:autoRedefine/>
    <w:uiPriority w:val="99"/>
    <w:semiHidden/>
    <w:rsid w:val="009E78BF"/>
    <w:pPr>
      <w:spacing w:after="60"/>
      <w:ind w:left="1701" w:right="340" w:hanging="340"/>
    </w:pPr>
  </w:style>
  <w:style w:type="paragraph" w:styleId="Titolosommario">
    <w:name w:val="TOC Heading"/>
    <w:basedOn w:val="Titolo1"/>
    <w:next w:val="Normale"/>
    <w:uiPriority w:val="99"/>
    <w:semiHidden/>
    <w:qFormat/>
    <w:rsid w:val="009E78BF"/>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E78BF"/>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9E78BF"/>
    <w:pPr>
      <w:ind w:left="794"/>
    </w:pPr>
  </w:style>
  <w:style w:type="paragraph" w:customStyle="1" w:styleId="OpiH1">
    <w:name w:val="Opi_H_1"/>
    <w:basedOn w:val="ECHRHeading2"/>
    <w:uiPriority w:val="42"/>
    <w:semiHidden/>
    <w:qFormat/>
    <w:rsid w:val="009E78BF"/>
    <w:pPr>
      <w:ind w:left="635" w:hanging="357"/>
      <w:outlineLvl w:val="2"/>
    </w:pPr>
  </w:style>
  <w:style w:type="paragraph" w:styleId="Sottotitolo">
    <w:name w:val="Subtitle"/>
    <w:basedOn w:val="Normale"/>
    <w:next w:val="Normale"/>
    <w:link w:val="SottotitoloCarattere"/>
    <w:uiPriority w:val="99"/>
    <w:semiHidden/>
    <w:qFormat/>
    <w:rsid w:val="009E78BF"/>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9E78BF"/>
    <w:pPr>
      <w:ind w:firstLine="284"/>
    </w:pPr>
  </w:style>
  <w:style w:type="character" w:customStyle="1" w:styleId="SottotitoloCarattere">
    <w:name w:val="Sottotitolo Carattere"/>
    <w:basedOn w:val="Carpredefinitoparagrafo"/>
    <w:link w:val="Sottotitolo"/>
    <w:uiPriority w:val="99"/>
    <w:semiHidden/>
    <w:rsid w:val="009E78BF"/>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E78B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9E78BF"/>
    <w:pPr>
      <w:tabs>
        <w:tab w:val="center" w:pos="851"/>
        <w:tab w:val="center" w:pos="6407"/>
      </w:tabs>
      <w:spacing w:before="720"/>
      <w:jc w:val="left"/>
    </w:pPr>
  </w:style>
  <w:style w:type="paragraph" w:customStyle="1" w:styleId="JuTitle">
    <w:name w:val="Ju_Title"/>
    <w:basedOn w:val="Normale"/>
    <w:next w:val="ECHRPara"/>
    <w:uiPriority w:val="3"/>
    <w:qFormat/>
    <w:rsid w:val="009E78BF"/>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9E78BF"/>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9E78BF"/>
    <w:pPr>
      <w:ind w:left="833" w:hanging="357"/>
      <w:outlineLvl w:val="3"/>
    </w:pPr>
    <w:rPr>
      <w:b/>
      <w:i w:val="0"/>
      <w:sz w:val="20"/>
    </w:rPr>
  </w:style>
  <w:style w:type="character" w:customStyle="1" w:styleId="JuHHeadChar">
    <w:name w:val="Ju_H_Head Char"/>
    <w:basedOn w:val="Carpredefinitoparagrafo"/>
    <w:link w:val="ECHRTitle1"/>
    <w:uiPriority w:val="18"/>
    <w:rsid w:val="009E78BF"/>
    <w:rPr>
      <w:rFonts w:asciiTheme="majorHAnsi" w:eastAsiaTheme="minorEastAsia" w:hAnsiTheme="majorHAnsi"/>
      <w:sz w:val="28"/>
    </w:rPr>
  </w:style>
  <w:style w:type="character" w:customStyle="1" w:styleId="ECHRParaChar">
    <w:name w:val="ECHR_Para Char"/>
    <w:aliases w:val="Ju_Para Char"/>
    <w:basedOn w:val="NessunaspaziaturaCarattere"/>
    <w:link w:val="ECHRPara"/>
    <w:uiPriority w:val="12"/>
    <w:rsid w:val="009E78BF"/>
    <w:rPr>
      <w:rFonts w:eastAsiaTheme="minorEastAsia"/>
      <w:sz w:val="24"/>
    </w:rPr>
  </w:style>
  <w:style w:type="character" w:customStyle="1" w:styleId="ECHRHeading2Char">
    <w:name w:val="ECHR_Heading_2 Char"/>
    <w:aliases w:val="Head_2 Char"/>
    <w:basedOn w:val="Titolo2Carattere"/>
    <w:link w:val="ECHRHeading2"/>
    <w:uiPriority w:val="20"/>
    <w:rsid w:val="009E78BF"/>
    <w:rPr>
      <w:rFonts w:asciiTheme="majorHAnsi" w:eastAsiaTheme="majorEastAsia" w:hAnsiTheme="majorHAnsi" w:cstheme="majorBidi"/>
      <w:b/>
      <w:bCs/>
      <w:color w:val="4D4D4D"/>
      <w:sz w:val="24"/>
      <w:szCs w:val="26"/>
    </w:rPr>
  </w:style>
  <w:style w:type="character" w:customStyle="1" w:styleId="JuQuotChar">
    <w:name w:val="Ju_Quot Char"/>
    <w:basedOn w:val="Carpredefinitoparagrafo"/>
    <w:link w:val="ECHRParaQuote"/>
    <w:uiPriority w:val="14"/>
    <w:rsid w:val="009E78BF"/>
    <w:rPr>
      <w:rFonts w:eastAsiaTheme="minorEastAsia"/>
      <w:sz w:val="20"/>
    </w:rPr>
  </w:style>
  <w:style w:type="paragraph" w:customStyle="1" w:styleId="OpiHi">
    <w:name w:val="Opi_H_i"/>
    <w:basedOn w:val="ECHRHeading4"/>
    <w:uiPriority w:val="44"/>
    <w:semiHidden/>
    <w:qFormat/>
    <w:rsid w:val="009E78BF"/>
    <w:pPr>
      <w:ind w:left="1037" w:hanging="357"/>
      <w:outlineLvl w:val="4"/>
    </w:pPr>
    <w:rPr>
      <w:b w:val="0"/>
      <w:i/>
    </w:rPr>
  </w:style>
  <w:style w:type="paragraph" w:customStyle="1" w:styleId="DummyStyle">
    <w:name w:val="Dummy_Style"/>
    <w:basedOn w:val="Normale"/>
    <w:semiHidden/>
    <w:qFormat/>
    <w:rsid w:val="009E78BF"/>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68C4-EC17-4B23-8E7C-B086D6C4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998CD4-EEFA-41D1-B25E-21AF623E609E}">
  <ds:schemaRefs>
    <ds:schemaRef ds:uri="http://schemas.microsoft.com/sharepoint/v3/contenttype/forms"/>
  </ds:schemaRefs>
</ds:datastoreItem>
</file>

<file path=customXml/itemProps3.xml><?xml version="1.0" encoding="utf-8"?>
<ds:datastoreItem xmlns:ds="http://schemas.openxmlformats.org/officeDocument/2006/customXml" ds:itemID="{5275D1BF-B8BC-4D1A-BDAA-910D96FA0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49B9F-E0D2-4FC5-91DC-97051B7C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3960</Words>
  <Characters>22576</Characters>
  <Application>Microsoft Office Word</Application>
  <DocSecurity>0</DocSecurity>
  <Lines>188</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2016-04-19T15:09:00Z</dcterms:created>
  <dcterms:modified xsi:type="dcterms:W3CDTF">2016-04-19T15:09:00Z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19424/08</vt:lpwstr>
  </property>
  <property fmtid="{D5CDD505-2E9C-101B-9397-08002B2CF9AE}" pid="4" name="CASEID">
    <vt:lpwstr>503616</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